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8C0DDB">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16bis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2513884</w:t>
      </w:r>
    </w:p>
    <w:p w14:paraId="395093B0">
      <w:pPr>
        <w:tabs>
          <w:tab w:val="right" w:pos="9072"/>
        </w:tabs>
        <w:jc w:val="both"/>
        <w:rPr>
          <w:rFonts w:ascii="Arial" w:hAnsi="Arial" w:cs="Arial"/>
          <w:b/>
          <w:color w:val="auto"/>
          <w:sz w:val="24"/>
          <w:lang w:eastAsia="zh-CN"/>
        </w:rPr>
      </w:pPr>
      <w:r>
        <w:rPr>
          <w:rFonts w:ascii="Arial" w:hAnsi="Arial" w:eastAsia="宋体" w:cs="Arial"/>
          <w:b/>
          <w:sz w:val="24"/>
          <w:szCs w:val="24"/>
          <w:lang w:eastAsia="zh-CN"/>
        </w:rPr>
        <w:t>Prague, Czech Republic, Oct. 13-17</w:t>
      </w:r>
      <w:r>
        <w:rPr>
          <w:rFonts w:ascii="Arial" w:hAnsi="Arial" w:cs="Arial"/>
          <w:b/>
          <w:color w:val="auto"/>
          <w:sz w:val="24"/>
          <w:lang w:eastAsia="zh-CN"/>
        </w:rPr>
        <w:t>, 202</w:t>
      </w:r>
      <w:r>
        <w:rPr>
          <w:rFonts w:hint="eastAsia" w:ascii="Arial" w:hAnsi="Arial" w:cs="Arial"/>
          <w:b/>
          <w:color w:val="auto"/>
          <w:sz w:val="24"/>
          <w:lang w:val="en-US" w:eastAsia="zh-CN"/>
        </w:rPr>
        <w:t>5</w:t>
      </w:r>
    </w:p>
    <w:p w14:paraId="716981DC">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685F2A73">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0A441D33">
      <w:pPr>
        <w:pStyle w:val="15"/>
        <w:tabs>
          <w:tab w:val="left" w:pos="1800"/>
          <w:tab w:val="left" w:pos="3825"/>
          <w:tab w:val="clear" w:pos="4536"/>
          <w:tab w:val="clear" w:pos="9072"/>
        </w:tabs>
        <w:spacing w:after="6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maintenance of R19 SBFD</w:t>
      </w:r>
    </w:p>
    <w:p w14:paraId="2814A365">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4.19.3</w:t>
      </w:r>
    </w:p>
    <w:p w14:paraId="50DC81F9">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726E6FF5">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5549445C">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Until last meeting, good discussion were held around the SBFD and the core part discussion was completed. All relevant progress achieved during the core part discussion were summarized in [1][2][3][4][5][6]. In this paper, we provide our further views on the remaining issues of UE-to-UE CLI and SBFD operation impacts.</w:t>
      </w:r>
    </w:p>
    <w:p w14:paraId="77C1CC2E">
      <w:pPr>
        <w:pStyle w:val="2"/>
        <w:keepNext w:val="0"/>
        <w:keepLines w:val="0"/>
        <w:pageBreakBefore w:val="0"/>
        <w:widowControl w:val="0"/>
        <w:numPr>
          <w:ilvl w:val="0"/>
          <w:numId w:val="5"/>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59746F03">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u w:val="single"/>
          <w:lang w:val="sv-SE" w:eastAsia="zh-CN"/>
        </w:rPr>
      </w:pPr>
      <w:r>
        <w:rPr>
          <w:u w:val="single"/>
          <w:lang w:val="sv-SE" w:eastAsia="zh-CN"/>
        </w:rPr>
        <w:t>Requirement applicability</w:t>
      </w:r>
    </w:p>
    <w:p w14:paraId="3EC5BE3B">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In recent two meetings, this issue was warmly discussed and the following consensus were achieved in [5][6]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61405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492D2FC3">
            <w:pPr>
              <w:pStyle w:val="30"/>
              <w:keepNext w:val="0"/>
              <w:keepLines w:val="0"/>
              <w:pageBreakBefore w:val="0"/>
              <w:widowControl w:val="0"/>
              <w:numPr>
                <w:ilvl w:val="0"/>
                <w:numId w:val="3"/>
              </w:numPr>
              <w:kinsoku/>
              <w:wordWrap/>
              <w:overflowPunct/>
              <w:topLinePunct w:val="0"/>
              <w:autoSpaceDE/>
              <w:autoSpaceDN/>
              <w:bidi w:val="0"/>
              <w:adjustRightInd/>
              <w:snapToGrid/>
              <w:spacing w:line="240" w:lineRule="auto"/>
              <w:ind w:left="720" w:hanging="363" w:firstLineChars="0"/>
              <w:textAlignment w:val="auto"/>
              <w:rPr>
                <w:rFonts w:eastAsia="宋体"/>
                <w:color w:val="auto"/>
                <w:szCs w:val="24"/>
                <w:lang w:eastAsia="zh-CN"/>
              </w:rPr>
            </w:pPr>
            <w:r>
              <w:rPr>
                <w:rFonts w:eastAsia="宋体"/>
                <w:color w:val="auto"/>
                <w:szCs w:val="24"/>
                <w:highlight w:val="green"/>
                <w:lang w:eastAsia="zh-CN"/>
              </w:rPr>
              <w:t xml:space="preserve">Agreement </w:t>
            </w:r>
            <w:r>
              <w:rPr>
                <w:rFonts w:eastAsia="宋体"/>
                <w:color w:val="auto"/>
                <w:szCs w:val="24"/>
                <w:lang w:eastAsia="zh-CN"/>
              </w:rPr>
              <w:t>(Monday online session)</w:t>
            </w:r>
          </w:p>
          <w:p w14:paraId="4E8FB723">
            <w:pPr>
              <w:pStyle w:val="30"/>
              <w:keepNext w:val="0"/>
              <w:keepLines w:val="0"/>
              <w:pageBreakBefore w:val="0"/>
              <w:widowControl w:val="0"/>
              <w:numPr>
                <w:ilvl w:val="1"/>
                <w:numId w:val="3"/>
              </w:numPr>
              <w:kinsoku/>
              <w:wordWrap/>
              <w:overflowPunct/>
              <w:topLinePunct w:val="0"/>
              <w:autoSpaceDE/>
              <w:autoSpaceDN/>
              <w:bidi w:val="0"/>
              <w:adjustRightInd/>
              <w:snapToGrid/>
              <w:spacing w:line="240" w:lineRule="auto"/>
              <w:ind w:hanging="363" w:firstLineChars="0"/>
              <w:textAlignment w:val="auto"/>
              <w:rPr>
                <w:rFonts w:eastAsia="宋体"/>
                <w:color w:val="auto"/>
                <w:szCs w:val="24"/>
                <w:lang w:eastAsia="zh-CN"/>
              </w:rPr>
            </w:pPr>
            <w:r>
              <w:rPr>
                <w:rFonts w:eastAsia="宋体"/>
                <w:color w:val="auto"/>
                <w:szCs w:val="24"/>
                <w:lang w:eastAsia="zh-CN"/>
              </w:rPr>
              <w:t>For method #2, 3 and non-basic UE operation of method #1</w:t>
            </w:r>
          </w:p>
          <w:p w14:paraId="201C935E">
            <w:pPr>
              <w:pStyle w:val="30"/>
              <w:keepNext w:val="0"/>
              <w:keepLines w:val="0"/>
              <w:pageBreakBefore w:val="0"/>
              <w:widowControl w:val="0"/>
              <w:numPr>
                <w:ilvl w:val="2"/>
                <w:numId w:val="3"/>
              </w:numPr>
              <w:kinsoku/>
              <w:wordWrap/>
              <w:overflowPunct/>
              <w:topLinePunct w:val="0"/>
              <w:autoSpaceDE/>
              <w:autoSpaceDN/>
              <w:bidi w:val="0"/>
              <w:adjustRightInd/>
              <w:snapToGrid/>
              <w:spacing w:line="240" w:lineRule="auto"/>
              <w:ind w:hanging="363" w:firstLineChars="0"/>
              <w:textAlignment w:val="auto"/>
              <w:rPr>
                <w:rFonts w:eastAsia="宋体"/>
                <w:color w:val="auto"/>
                <w:szCs w:val="24"/>
                <w:lang w:eastAsia="zh-CN"/>
              </w:rPr>
            </w:pPr>
            <w:r>
              <w:rPr>
                <w:rFonts w:eastAsia="宋体"/>
                <w:color w:val="auto"/>
                <w:szCs w:val="24"/>
                <w:lang w:eastAsia="zh-CN"/>
              </w:rPr>
              <w:t>The L1 CLI measurement requirements are applicable for RRC_CONNECTED intra-frequency:</w:t>
            </w:r>
          </w:p>
          <w:p w14:paraId="642B5FC9">
            <w:pPr>
              <w:pStyle w:val="30"/>
              <w:keepNext w:val="0"/>
              <w:keepLines w:val="0"/>
              <w:pageBreakBefore w:val="0"/>
              <w:widowControl w:val="0"/>
              <w:numPr>
                <w:ilvl w:val="3"/>
                <w:numId w:val="3"/>
              </w:numPr>
              <w:kinsoku/>
              <w:wordWrap/>
              <w:overflowPunct/>
              <w:topLinePunct w:val="0"/>
              <w:autoSpaceDE/>
              <w:autoSpaceDN/>
              <w:bidi w:val="0"/>
              <w:adjustRightInd/>
              <w:snapToGrid/>
              <w:spacing w:line="240" w:lineRule="auto"/>
              <w:ind w:hanging="363" w:firstLineChars="0"/>
              <w:textAlignment w:val="auto"/>
              <w:rPr>
                <w:rFonts w:eastAsia="宋体"/>
                <w:color w:val="auto"/>
                <w:szCs w:val="24"/>
                <w:highlight w:val="none"/>
                <w:lang w:eastAsia="zh-CN"/>
              </w:rPr>
            </w:pPr>
            <w:r>
              <w:rPr>
                <w:rFonts w:eastAsia="宋体"/>
                <w:color w:val="auto"/>
                <w:szCs w:val="24"/>
                <w:lang w:eastAsia="zh-CN"/>
              </w:rPr>
              <w:t>when SRS-RSRP measurement resource is configured w</w:t>
            </w:r>
            <w:r>
              <w:rPr>
                <w:rFonts w:eastAsia="宋体"/>
                <w:color w:val="auto"/>
                <w:szCs w:val="24"/>
                <w:highlight w:val="none"/>
                <w:lang w:eastAsia="zh-CN"/>
              </w:rPr>
              <w:t>ithin active DL BWP</w:t>
            </w:r>
          </w:p>
          <w:p w14:paraId="54C00A14">
            <w:pPr>
              <w:pStyle w:val="30"/>
              <w:keepNext w:val="0"/>
              <w:keepLines w:val="0"/>
              <w:pageBreakBefore w:val="0"/>
              <w:widowControl w:val="0"/>
              <w:numPr>
                <w:ilvl w:val="3"/>
                <w:numId w:val="3"/>
              </w:numPr>
              <w:kinsoku/>
              <w:wordWrap/>
              <w:overflowPunct/>
              <w:topLinePunct w:val="0"/>
              <w:autoSpaceDE/>
              <w:autoSpaceDN/>
              <w:bidi w:val="0"/>
              <w:adjustRightInd/>
              <w:snapToGrid/>
              <w:spacing w:line="240" w:lineRule="auto"/>
              <w:ind w:hanging="363" w:firstLineChars="0"/>
              <w:textAlignment w:val="auto"/>
              <w:rPr>
                <w:rFonts w:eastAsia="宋体"/>
                <w:color w:val="auto"/>
                <w:szCs w:val="24"/>
                <w:highlight w:val="none"/>
                <w:lang w:eastAsia="zh-CN"/>
              </w:rPr>
            </w:pPr>
            <w:r>
              <w:rPr>
                <w:rFonts w:eastAsia="宋体"/>
                <w:color w:val="auto"/>
                <w:szCs w:val="24"/>
                <w:highlight w:val="none"/>
                <w:lang w:eastAsia="zh-CN"/>
              </w:rPr>
              <w:t>when CLI-RSSI measurement resource is configured within active DL BWP</w:t>
            </w:r>
          </w:p>
          <w:p w14:paraId="3A202A30">
            <w:pPr>
              <w:pStyle w:val="30"/>
              <w:keepNext w:val="0"/>
              <w:keepLines w:val="0"/>
              <w:pageBreakBefore w:val="0"/>
              <w:widowControl w:val="0"/>
              <w:numPr>
                <w:ilvl w:val="1"/>
                <w:numId w:val="3"/>
              </w:numPr>
              <w:kinsoku/>
              <w:wordWrap/>
              <w:overflowPunct/>
              <w:topLinePunct w:val="0"/>
              <w:autoSpaceDE/>
              <w:autoSpaceDN/>
              <w:bidi w:val="0"/>
              <w:adjustRightInd/>
              <w:snapToGrid/>
              <w:spacing w:line="240" w:lineRule="auto"/>
              <w:ind w:hanging="363" w:firstLineChars="0"/>
              <w:textAlignment w:val="auto"/>
              <w:rPr>
                <w:rFonts w:eastAsia="宋体"/>
                <w:color w:val="auto"/>
                <w:szCs w:val="24"/>
                <w:lang w:eastAsia="zh-CN"/>
              </w:rPr>
            </w:pPr>
            <w:r>
              <w:rPr>
                <w:rFonts w:eastAsia="宋体"/>
                <w:color w:val="auto"/>
                <w:szCs w:val="24"/>
                <w:lang w:eastAsia="zh-CN"/>
              </w:rPr>
              <w:t>FFS for basic UE operation for method #1</w:t>
            </w:r>
          </w:p>
          <w:p w14:paraId="797F0BE0">
            <w:pPr>
              <w:pStyle w:val="30"/>
              <w:keepNext w:val="0"/>
              <w:keepLines w:val="0"/>
              <w:pageBreakBefore w:val="0"/>
              <w:widowControl w:val="0"/>
              <w:numPr>
                <w:ilvl w:val="1"/>
                <w:numId w:val="3"/>
              </w:numPr>
              <w:kinsoku/>
              <w:wordWrap/>
              <w:overflowPunct/>
              <w:topLinePunct w:val="0"/>
              <w:autoSpaceDE/>
              <w:autoSpaceDN/>
              <w:bidi w:val="0"/>
              <w:adjustRightInd/>
              <w:snapToGrid/>
              <w:spacing w:line="240" w:lineRule="auto"/>
              <w:ind w:hanging="363" w:firstLineChars="0"/>
              <w:textAlignment w:val="auto"/>
              <w:rPr>
                <w:rFonts w:hint="default" w:cs="Arial"/>
                <w:vertAlign w:val="baseline"/>
                <w:lang w:val="en-US" w:eastAsia="zh-CN"/>
              </w:rPr>
            </w:pPr>
            <w:r>
              <w:rPr>
                <w:rFonts w:eastAsia="宋体"/>
                <w:color w:val="auto"/>
                <w:szCs w:val="24"/>
                <w:lang w:eastAsia="zh-CN"/>
              </w:rPr>
              <w:t>Note: The assumption for basic UE operation is that UE cannot receive simultaneous PDSCH reception on two DL subbands, and whether the basic UE operation exists or not is pending on RAN1 discussion.</w:t>
            </w:r>
          </w:p>
          <w:p w14:paraId="6CC43367">
            <w:pPr>
              <w:pStyle w:val="30"/>
              <w:keepNext w:val="0"/>
              <w:keepLines w:val="0"/>
              <w:pageBreakBefore w:val="0"/>
              <w:widowControl w:val="0"/>
              <w:numPr>
                <w:ilvl w:val="0"/>
                <w:numId w:val="3"/>
              </w:numPr>
              <w:kinsoku/>
              <w:wordWrap/>
              <w:overflowPunct/>
              <w:topLinePunct w:val="0"/>
              <w:autoSpaceDE/>
              <w:autoSpaceDN/>
              <w:bidi w:val="0"/>
              <w:adjustRightInd/>
              <w:snapToGrid/>
              <w:ind w:left="720" w:hanging="363" w:firstLineChars="0"/>
              <w:textAlignment w:val="auto"/>
              <w:rPr>
                <w:rFonts w:eastAsia="宋体"/>
                <w:color w:val="auto"/>
                <w:szCs w:val="24"/>
                <w:lang w:eastAsia="zh-CN"/>
              </w:rPr>
            </w:pPr>
            <w:r>
              <w:rPr>
                <w:rFonts w:eastAsia="宋体"/>
                <w:color w:val="auto"/>
                <w:szCs w:val="24"/>
                <w:highlight w:val="green"/>
                <w:lang w:eastAsia="zh-CN"/>
              </w:rPr>
              <w:t xml:space="preserve">Agreement </w:t>
            </w:r>
          </w:p>
          <w:p w14:paraId="31570E6A">
            <w:pPr>
              <w:pStyle w:val="30"/>
              <w:keepNext w:val="0"/>
              <w:keepLines w:val="0"/>
              <w:pageBreakBefore w:val="0"/>
              <w:widowControl w:val="0"/>
              <w:numPr>
                <w:ilvl w:val="1"/>
                <w:numId w:val="3"/>
              </w:numPr>
              <w:kinsoku/>
              <w:wordWrap/>
              <w:overflowPunct/>
              <w:topLinePunct w:val="0"/>
              <w:autoSpaceDE/>
              <w:autoSpaceDN/>
              <w:bidi w:val="0"/>
              <w:adjustRightInd/>
              <w:snapToGrid/>
              <w:ind w:hanging="363" w:firstLineChars="0"/>
              <w:textAlignment w:val="auto"/>
              <w:rPr>
                <w:rFonts w:hint="default" w:cs="Arial"/>
                <w:vertAlign w:val="baseline"/>
                <w:lang w:val="en-US" w:eastAsia="zh-CN"/>
              </w:rPr>
            </w:pPr>
            <w:r>
              <w:rPr>
                <w:rFonts w:eastAsia="宋体"/>
                <w:szCs w:val="24"/>
                <w:lang w:eastAsia="zh-CN"/>
              </w:rPr>
              <w:t>For UE not supporting simultaneous DL reception in 2 DL subbands, if RAN1 agrees such basic UE operation exists in maintenance phase, RAN4 will further the corresponding requirements in maintenance phase.</w:t>
            </w:r>
          </w:p>
        </w:tc>
      </w:tr>
    </w:tbl>
    <w:p w14:paraId="63527EF3">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The relevant discussion around the supporting of simultaneous DL reception in 2 DL subbands was discussed in last RAN1 meeting(#122) and the following agreements were achieved by RAN1: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646C5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5B9488CC">
            <w:pPr>
              <w:rPr>
                <w:rFonts w:ascii="Times New Roman" w:hAnsi="Times New Roman" w:eastAsia="Yu Mincho"/>
                <w:lang w:eastAsia="ja-JP"/>
              </w:rPr>
            </w:pPr>
            <w:r>
              <w:rPr>
                <w:rFonts w:ascii="Times New Roman" w:hAnsi="Times New Roman" w:eastAsia="Yu Mincho"/>
                <w:highlight w:val="green"/>
                <w:lang w:eastAsia="ja-JP"/>
              </w:rPr>
              <w:t>A</w:t>
            </w:r>
            <w:r>
              <w:rPr>
                <w:rFonts w:hint="eastAsia" w:ascii="Times New Roman" w:hAnsi="Times New Roman" w:eastAsia="Yu Mincho"/>
                <w:highlight w:val="green"/>
                <w:lang w:eastAsia="ja-JP"/>
              </w:rPr>
              <w:t>greement:</w:t>
            </w:r>
            <w:r>
              <w:rPr>
                <w:rFonts w:hint="eastAsia" w:ascii="Times New Roman" w:hAnsi="Times New Roman" w:eastAsia="Yu Mincho"/>
                <w:lang w:eastAsia="ja-JP"/>
              </w:rPr>
              <w:t xml:space="preserve"> </w:t>
            </w:r>
          </w:p>
          <w:p w14:paraId="0A0F81B4">
            <w:pPr>
              <w:numPr>
                <w:ilvl w:val="0"/>
                <w:numId w:val="6"/>
              </w:numPr>
              <w:spacing w:line="221" w:lineRule="atLeast"/>
              <w:rPr>
                <w:rFonts w:hint="eastAsia" w:ascii="游ゴ シ ッ ク" w:hAnsi="游ゴ シ ッ ク" w:eastAsia="MS PGothic" w:cs="MS PGothic"/>
                <w:color w:val="000000"/>
                <w:sz w:val="21"/>
                <w:szCs w:val="21"/>
                <w:lang w:eastAsia="zh-CN"/>
              </w:rPr>
            </w:pPr>
            <w:r>
              <w:rPr>
                <w:rFonts w:ascii="Times New Roman" w:hAnsi="Times New Roman" w:eastAsia="MS PGothic"/>
                <w:color w:val="000000"/>
                <w:lang w:eastAsia="zh-CN"/>
              </w:rPr>
              <w:t>FG 60-1 to include support of PDSCH/CSI-RS reception in two DL subbands</w:t>
            </w:r>
          </w:p>
          <w:p w14:paraId="5C7FF9FC">
            <w:pPr>
              <w:ind w:left="1006" w:leftChars="283" w:hanging="440"/>
              <w:rPr>
                <w:rFonts w:ascii="Times New Roman" w:hAnsi="Times New Roman" w:eastAsia="MS PGothic"/>
                <w:color w:val="000000"/>
                <w:lang w:eastAsia="ja-JP"/>
              </w:rPr>
            </w:pPr>
            <w:r>
              <w:rPr>
                <w:rFonts w:ascii="游ゴ シ ッ ク" w:hAnsi="游ゴ シ ッ ク" w:eastAsia="MS PGothic" w:cs="MS PGothic"/>
                <w:color w:val="000000"/>
                <w:sz w:val="21"/>
                <w:szCs w:val="21"/>
                <w:lang w:eastAsia="zh-CN"/>
              </w:rPr>
              <w:t> </w:t>
            </w:r>
            <w:r>
              <w:rPr>
                <w:rFonts w:ascii="Wingdings" w:hAnsi="Wingdings" w:eastAsia="MS PGothic" w:cs="MS PGothic"/>
                <w:color w:val="000000"/>
                <w:lang w:eastAsia="zh-CN"/>
              </w:rPr>
              <w:t></w:t>
            </w:r>
            <w:r>
              <w:rPr>
                <w:rFonts w:ascii="Times New Roman" w:hAnsi="Times New Roman" w:eastAsia="MS PGothic"/>
                <w:color w:val="000000"/>
                <w:sz w:val="14"/>
                <w:szCs w:val="14"/>
                <w:lang w:eastAsia="zh-CN"/>
              </w:rPr>
              <w:t>   </w:t>
            </w:r>
            <w:r>
              <w:rPr>
                <w:rFonts w:ascii="Times New Roman" w:hAnsi="Times New Roman" w:eastAsia="MS PGothic"/>
                <w:color w:val="000000"/>
                <w:lang w:eastAsia="zh-CN"/>
              </w:rPr>
              <w:t>Add a new component to report the number of partial PRGs supported</w:t>
            </w:r>
          </w:p>
          <w:p w14:paraId="60C2ABE5">
            <w:pPr>
              <w:ind w:left="1006" w:leftChars="283" w:hanging="440"/>
              <w:rPr>
                <w:rFonts w:ascii="Times New Roman" w:hAnsi="Times New Roman" w:eastAsia="MS PGothic"/>
                <w:color w:val="000000"/>
                <w:lang w:eastAsia="ja-JP"/>
              </w:rPr>
            </w:pPr>
            <w:r>
              <w:rPr>
                <w:rFonts w:ascii="Times New Roman" w:hAnsi="Times New Roman" w:eastAsia="MS PGothic"/>
                <w:color w:val="000000"/>
                <w:lang w:eastAsia="ja-JP"/>
              </w:rPr>
              <w:tab/>
            </w:r>
            <w:r>
              <w:rPr>
                <w:rFonts w:ascii="Times New Roman" w:hAnsi="Times New Roman" w:eastAsia="MS PGothic"/>
                <w:color w:val="000000"/>
                <w:lang w:eastAsia="ja-JP"/>
              </w:rPr>
              <w:t>C</w:t>
            </w:r>
            <w:r>
              <w:rPr>
                <w:rFonts w:hint="eastAsia" w:ascii="Times New Roman" w:hAnsi="Times New Roman" w:eastAsia="MS PGothic"/>
                <w:color w:val="000000"/>
                <w:lang w:eastAsia="ja-JP"/>
              </w:rPr>
              <w:t>andidate values: {2, 4}</w:t>
            </w:r>
          </w:p>
          <w:p w14:paraId="37333DAF">
            <w:pPr>
              <w:ind w:left="1006" w:leftChars="283" w:hanging="440"/>
              <w:rPr>
                <w:rFonts w:hint="eastAsia" w:ascii="游ゴ シ ッ ク" w:hAnsi="游ゴ シ ッ ク" w:eastAsia="MS PGothic" w:cs="MS PGothic"/>
                <w:color w:val="000000"/>
                <w:sz w:val="21"/>
                <w:szCs w:val="21"/>
                <w:lang w:eastAsia="zh-CN"/>
              </w:rPr>
            </w:pPr>
            <w:r>
              <w:rPr>
                <w:rFonts w:ascii="游ゴ シ ッ ク" w:hAnsi="游ゴ シ ッ ク" w:eastAsia="MS PGothic" w:cs="MS PGothic"/>
                <w:color w:val="000000"/>
                <w:sz w:val="21"/>
                <w:szCs w:val="21"/>
                <w:lang w:eastAsia="zh-CN"/>
              </w:rPr>
              <w:t> </w:t>
            </w:r>
            <w:r>
              <w:rPr>
                <w:rFonts w:ascii="Wingdings" w:hAnsi="Wingdings" w:eastAsia="MS PGothic" w:cs="MS PGothic"/>
                <w:color w:val="000000"/>
                <w:lang w:eastAsia="zh-CN"/>
              </w:rPr>
              <w:t></w:t>
            </w:r>
            <w:r>
              <w:rPr>
                <w:rFonts w:ascii="Times New Roman" w:hAnsi="Times New Roman" w:eastAsia="MS PGothic"/>
                <w:color w:val="000000"/>
                <w:sz w:val="14"/>
                <w:szCs w:val="14"/>
                <w:lang w:eastAsia="zh-CN"/>
              </w:rPr>
              <w:t>   </w:t>
            </w:r>
            <w:r>
              <w:rPr>
                <w:rFonts w:ascii="Times New Roman" w:hAnsi="Times New Roman" w:eastAsia="MS PGothic"/>
                <w:color w:val="000000"/>
                <w:lang w:eastAsia="zh-CN"/>
              </w:rPr>
              <w:t>Add a new component to report CSI timeline, active CSI-RS ports counting and active CSI-RS resource counting for a single CSI-RS resource across two DL subbands</w:t>
            </w:r>
          </w:p>
          <w:p w14:paraId="505BDC11">
            <w:pPr>
              <w:ind w:left="1374" w:leftChars="467" w:hanging="440"/>
              <w:rPr>
                <w:rFonts w:hint="eastAsia" w:ascii="游ゴ シ ッ ク" w:hAnsi="游ゴ シ ッ ク" w:eastAsia="MS PGothic" w:cs="MS PGothic"/>
                <w:color w:val="000000"/>
                <w:sz w:val="21"/>
                <w:szCs w:val="21"/>
                <w:lang w:eastAsia="zh-CN"/>
              </w:rPr>
            </w:pPr>
            <w:r>
              <w:rPr>
                <w:rFonts w:ascii="游ゴ シ ッ ク" w:hAnsi="游ゴ シ ッ ク" w:eastAsia="MS PGothic" w:cs="MS PGothic"/>
                <w:color w:val="000000"/>
                <w:sz w:val="21"/>
                <w:szCs w:val="21"/>
                <w:lang w:eastAsia="zh-CN"/>
              </w:rPr>
              <w:t> </w:t>
            </w:r>
            <w:r>
              <w:rPr>
                <w:rFonts w:ascii="Wingdings" w:hAnsi="Wingdings" w:eastAsia="MS PGothic" w:cs="MS PGothic"/>
                <w:color w:val="000000"/>
                <w:lang w:eastAsia="zh-CN"/>
              </w:rPr>
              <w:t></w:t>
            </w:r>
            <w:r>
              <w:rPr>
                <w:rFonts w:ascii="Times New Roman" w:hAnsi="Times New Roman" w:eastAsia="MS PGothic"/>
                <w:color w:val="000000"/>
                <w:sz w:val="14"/>
                <w:szCs w:val="14"/>
                <w:lang w:eastAsia="zh-CN"/>
              </w:rPr>
              <w:t>  </w:t>
            </w:r>
            <w:r>
              <w:rPr>
                <w:rFonts w:ascii="Times New Roman" w:hAnsi="Times New Roman" w:eastAsia="MS PGothic"/>
                <w:color w:val="000000"/>
                <w:lang w:eastAsia="zh-CN"/>
              </w:rPr>
              <w:t>Candidate values: {“with factor-of-two relaxation”, “without factor-of-two relaxation”}</w:t>
            </w:r>
          </w:p>
          <w:p w14:paraId="09018B17">
            <w:pPr>
              <w:ind w:left="1374" w:leftChars="467" w:hanging="440"/>
              <w:rPr>
                <w:rFonts w:ascii="Times New Roman" w:hAnsi="Times New Roman" w:eastAsia="MS PGothic"/>
                <w:color w:val="000000"/>
                <w:lang w:eastAsia="zh-CN"/>
              </w:rPr>
            </w:pPr>
            <w:r>
              <w:rPr>
                <w:rFonts w:ascii="游ゴ シ ッ ク" w:hAnsi="游ゴ シ ッ ク" w:eastAsia="MS PGothic" w:cs="MS PGothic"/>
                <w:color w:val="000000"/>
                <w:sz w:val="21"/>
                <w:szCs w:val="21"/>
                <w:lang w:eastAsia="zh-CN"/>
              </w:rPr>
              <w:t> </w:t>
            </w:r>
            <w:r>
              <w:rPr>
                <w:rFonts w:ascii="Wingdings" w:hAnsi="Wingdings" w:eastAsia="MS PGothic" w:cs="MS PGothic"/>
                <w:color w:val="000000"/>
                <w:lang w:eastAsia="zh-CN"/>
              </w:rPr>
              <w:t></w:t>
            </w:r>
            <w:r>
              <w:rPr>
                <w:rFonts w:ascii="Times New Roman" w:hAnsi="Times New Roman" w:eastAsia="MS PGothic"/>
                <w:color w:val="000000"/>
                <w:sz w:val="14"/>
                <w:szCs w:val="14"/>
                <w:lang w:eastAsia="zh-CN"/>
              </w:rPr>
              <w:t>  </w:t>
            </w:r>
            <w:r>
              <w:rPr>
                <w:rFonts w:ascii="Times New Roman" w:hAnsi="Times New Roman" w:eastAsia="MS PGothic"/>
                <w:color w:val="000000"/>
                <w:lang w:eastAsia="zh-CN"/>
              </w:rPr>
              <w:t>Add a note: “FFS: details of counting”</w:t>
            </w:r>
          </w:p>
          <w:p w14:paraId="49E0F089">
            <w:pPr>
              <w:ind w:left="1006" w:leftChars="283" w:hanging="440"/>
              <w:rPr>
                <w:rFonts w:ascii="Times New Roman" w:hAnsi="Times New Roman" w:eastAsia="MS PGothic"/>
                <w:color w:val="000000"/>
                <w:lang w:eastAsia="ja-JP"/>
              </w:rPr>
            </w:pPr>
            <w:r>
              <w:rPr>
                <w:rFonts w:ascii="游ゴ シ ッ ク" w:hAnsi="游ゴ シ ッ ク" w:eastAsia="MS PGothic" w:cs="MS PGothic"/>
                <w:color w:val="000000"/>
                <w:sz w:val="21"/>
                <w:szCs w:val="21"/>
                <w:lang w:eastAsia="ja-JP"/>
              </w:rPr>
              <w:t> </w:t>
            </w:r>
            <w:r>
              <w:rPr>
                <w:rFonts w:ascii="Wingdings" w:hAnsi="Wingdings" w:eastAsia="MS PGothic" w:cs="MS PGothic"/>
                <w:color w:val="000000"/>
                <w:lang w:eastAsia="ja-JP"/>
              </w:rPr>
              <w:t></w:t>
            </w:r>
            <w:r>
              <w:rPr>
                <w:rFonts w:ascii="Times New Roman" w:hAnsi="Times New Roman" w:eastAsia="MS PGothic"/>
                <w:color w:val="000000"/>
                <w:sz w:val="14"/>
                <w:szCs w:val="14"/>
                <w:lang w:eastAsia="ja-JP"/>
              </w:rPr>
              <w:t>   </w:t>
            </w:r>
            <w:r>
              <w:rPr>
                <w:rFonts w:ascii="Times New Roman" w:hAnsi="Times New Roman" w:eastAsia="MS PGothic"/>
                <w:color w:val="000000"/>
                <w:lang w:eastAsia="ja-JP"/>
              </w:rPr>
              <w:t>Add a new component of “maximum of one DL-UL switching point per SBFD slot for actual DL/UL transmission(s)”</w:t>
            </w:r>
          </w:p>
          <w:p w14:paraId="57F257E9">
            <w:pPr>
              <w:ind w:left="1006" w:leftChars="283" w:hanging="440"/>
              <w:rPr>
                <w:rFonts w:hint="default" w:cs="Arial"/>
                <w:vertAlign w:val="baseline"/>
                <w:lang w:val="en-US" w:eastAsia="zh-CN"/>
              </w:rPr>
            </w:pPr>
            <w:r>
              <w:rPr>
                <w:rFonts w:ascii="游ゴ シ ッ ク" w:hAnsi="游ゴ シ ッ ク" w:eastAsia="MS PGothic" w:cs="MS PGothic"/>
                <w:color w:val="000000"/>
                <w:sz w:val="21"/>
                <w:szCs w:val="21"/>
                <w:lang w:eastAsia="ja-JP"/>
              </w:rPr>
              <w:t> </w:t>
            </w:r>
            <w:r>
              <w:rPr>
                <w:rFonts w:ascii="Wingdings" w:hAnsi="Wingdings" w:eastAsia="MS PGothic" w:cs="MS PGothic"/>
                <w:color w:val="000000"/>
                <w:lang w:eastAsia="ja-JP"/>
              </w:rPr>
              <w:t></w:t>
            </w:r>
            <w:r>
              <w:rPr>
                <w:rFonts w:ascii="Times New Roman" w:hAnsi="Times New Roman" w:eastAsia="MS PGothic"/>
                <w:color w:val="000000"/>
                <w:sz w:val="14"/>
                <w:szCs w:val="14"/>
                <w:lang w:eastAsia="ja-JP"/>
              </w:rPr>
              <w:t>   </w:t>
            </w:r>
            <w:r>
              <w:rPr>
                <w:rFonts w:ascii="Times New Roman" w:hAnsi="Times New Roman" w:eastAsia="MS PGothic"/>
                <w:color w:val="000000"/>
                <w:lang w:eastAsia="ja-JP"/>
              </w:rPr>
              <w:t>Add a new component of “Determination of TBS of PDSCH/PUSCH in SBFD symbols”</w:t>
            </w:r>
          </w:p>
        </w:tc>
      </w:tr>
    </w:tbl>
    <w:p w14:paraId="58B83F37">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 xml:space="preserve">Furthermore, the FG 60-1 was updated by RAN1 by adding the component of </w:t>
      </w:r>
      <w:r>
        <w:rPr>
          <w:rFonts w:hint="default" w:cs="Arial"/>
          <w:lang w:val="en-US" w:eastAsia="zh-CN"/>
        </w:rPr>
        <w:t>“</w:t>
      </w:r>
      <w:r>
        <w:rPr>
          <w:rFonts w:hint="eastAsia" w:cs="Arial"/>
          <w:lang w:val="en-US" w:eastAsia="zh-CN"/>
        </w:rPr>
        <w:t>Support of UL transmission in one UL subband and DL reception in one[/two DL subband in SBFD symbols</w:t>
      </w:r>
      <w:r>
        <w:rPr>
          <w:rFonts w:hint="default" w:cs="Arial"/>
          <w:lang w:val="en-US" w:eastAsia="zh-CN"/>
        </w:rPr>
        <w:t>”</w:t>
      </w:r>
      <w:r>
        <w:rPr>
          <w:rFonts w:hint="eastAsia" w:cs="Arial"/>
          <w:lang w:val="en-US" w:eastAsia="zh-CN"/>
        </w:rPr>
        <w:t xml:space="preserve">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4"/>
        <w:gridCol w:w="687"/>
        <w:gridCol w:w="3466"/>
        <w:gridCol w:w="3767"/>
      </w:tblGrid>
      <w:tr w14:paraId="79CB6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6870ED95">
            <w:pPr>
              <w:pStyle w:val="3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Features</w:t>
            </w:r>
          </w:p>
        </w:tc>
        <w:tc>
          <w:tcPr>
            <w:tcW w:w="0" w:type="auto"/>
            <w:tcBorders>
              <w:top w:val="single" w:color="auto" w:sz="4" w:space="0"/>
              <w:left w:val="single" w:color="auto" w:sz="4" w:space="0"/>
              <w:bottom w:val="single" w:color="auto" w:sz="4" w:space="0"/>
              <w:right w:val="single" w:color="auto" w:sz="4" w:space="0"/>
            </w:tcBorders>
          </w:tcPr>
          <w:p w14:paraId="4F575069">
            <w:pPr>
              <w:pStyle w:val="3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Index</w:t>
            </w:r>
          </w:p>
        </w:tc>
        <w:tc>
          <w:tcPr>
            <w:tcW w:w="0" w:type="auto"/>
            <w:tcBorders>
              <w:top w:val="single" w:color="auto" w:sz="4" w:space="0"/>
              <w:left w:val="single" w:color="auto" w:sz="4" w:space="0"/>
              <w:bottom w:val="single" w:color="auto" w:sz="4" w:space="0"/>
              <w:right w:val="single" w:color="auto" w:sz="4" w:space="0"/>
            </w:tcBorders>
          </w:tcPr>
          <w:p w14:paraId="63B49978">
            <w:pPr>
              <w:pStyle w:val="3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Feature group</w:t>
            </w:r>
          </w:p>
        </w:tc>
        <w:tc>
          <w:tcPr>
            <w:tcW w:w="0" w:type="auto"/>
            <w:tcBorders>
              <w:top w:val="single" w:color="auto" w:sz="4" w:space="0"/>
              <w:left w:val="single" w:color="auto" w:sz="4" w:space="0"/>
              <w:bottom w:val="single" w:color="auto" w:sz="4" w:space="0"/>
              <w:right w:val="single" w:color="auto" w:sz="4" w:space="0"/>
            </w:tcBorders>
          </w:tcPr>
          <w:p w14:paraId="22707BD1">
            <w:pPr>
              <w:pStyle w:val="35"/>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Components</w:t>
            </w:r>
          </w:p>
        </w:tc>
      </w:tr>
      <w:tr w14:paraId="4F8E6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14:paraId="0BA444B1">
            <w:pPr>
              <w:pStyle w:val="37"/>
              <w:rPr>
                <w:rFonts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60</w:t>
            </w:r>
            <w:r>
              <w:rPr>
                <w:rFonts w:cs="Arial"/>
                <w:color w:val="000000" w:themeColor="text1"/>
                <w:szCs w:val="18"/>
                <w:lang w:eastAsia="ja-JP"/>
                <w14:textFill>
                  <w14:solidFill>
                    <w14:schemeClr w14:val="tx1"/>
                  </w14:solidFill>
                </w14:textFill>
              </w:rPr>
              <w:t>. NR_duplex_evo</w:t>
            </w:r>
          </w:p>
        </w:tc>
        <w:tc>
          <w:tcPr>
            <w:tcW w:w="0" w:type="auto"/>
            <w:tcBorders>
              <w:top w:val="single" w:color="auto" w:sz="4" w:space="0"/>
              <w:left w:val="single" w:color="auto" w:sz="4" w:space="0"/>
              <w:bottom w:val="single" w:color="auto" w:sz="4" w:space="0"/>
              <w:right w:val="single" w:color="auto" w:sz="4" w:space="0"/>
            </w:tcBorders>
          </w:tcPr>
          <w:p w14:paraId="37EBE34A">
            <w:pPr>
              <w:pStyle w:val="37"/>
              <w:rPr>
                <w:rFonts w:eastAsia="MS Mincho" w:cs="Arial"/>
                <w:color w:val="000000" w:themeColor="text1"/>
                <w:szCs w:val="18"/>
                <w:lang w:eastAsia="ja-JP"/>
                <w14:textFill>
                  <w14:solidFill>
                    <w14:schemeClr w14:val="tx1"/>
                  </w14:solidFill>
                </w14:textFill>
              </w:rPr>
            </w:pPr>
            <w:r>
              <w:rPr>
                <w:rFonts w:eastAsia="MS Mincho" w:cs="Arial"/>
                <w:color w:val="000000" w:themeColor="text1"/>
                <w:szCs w:val="18"/>
                <w:lang w:eastAsia="ja-JP"/>
                <w14:textFill>
                  <w14:solidFill>
                    <w14:schemeClr w14:val="tx1"/>
                  </w14:solidFill>
                </w14:textFill>
              </w:rPr>
              <w:t>60-1</w:t>
            </w:r>
          </w:p>
        </w:tc>
        <w:tc>
          <w:tcPr>
            <w:tcW w:w="0" w:type="auto"/>
            <w:tcBorders>
              <w:top w:val="single" w:color="auto" w:sz="4" w:space="0"/>
              <w:left w:val="single" w:color="auto" w:sz="4" w:space="0"/>
              <w:bottom w:val="single" w:color="auto" w:sz="4" w:space="0"/>
              <w:right w:val="single" w:color="auto" w:sz="4" w:space="0"/>
            </w:tcBorders>
          </w:tcPr>
          <w:p w14:paraId="6F7B4F11">
            <w:pPr>
              <w:pStyle w:val="37"/>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Basic feature for SBFD-aware UE TX/RX/measurement behaviour and procedures</w:t>
            </w:r>
          </w:p>
        </w:tc>
        <w:tc>
          <w:tcPr>
            <w:tcW w:w="0" w:type="auto"/>
            <w:tcBorders>
              <w:top w:val="single" w:color="auto" w:sz="4" w:space="0"/>
              <w:left w:val="single" w:color="auto" w:sz="4" w:space="0"/>
              <w:bottom w:val="single" w:color="auto" w:sz="4" w:space="0"/>
              <w:right w:val="single" w:color="auto" w:sz="4" w:space="0"/>
            </w:tcBorders>
          </w:tcPr>
          <w:p w14:paraId="287234AF">
            <w:pPr>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1. Support of cell-common configuration of time and frequency location of SBFD subbands</w:t>
            </w:r>
          </w:p>
          <w:p w14:paraId="405BF744">
            <w:pPr>
              <w:rPr>
                <w:rFonts w:ascii="Arial" w:hAnsi="Arial" w:cs="Arial"/>
                <w:color w:val="000000" w:themeColor="text1"/>
                <w:sz w:val="18"/>
                <w:szCs w:val="18"/>
                <w:highlight w:val="yellow"/>
                <w14:textFill>
                  <w14:solidFill>
                    <w14:schemeClr w14:val="tx1"/>
                  </w14:solidFill>
                </w14:textFill>
              </w:rPr>
            </w:pPr>
            <w:r>
              <w:rPr>
                <w:rFonts w:ascii="Arial" w:hAnsi="Arial" w:cs="Arial"/>
                <w:color w:val="000000" w:themeColor="text1"/>
                <w:sz w:val="18"/>
                <w:szCs w:val="18"/>
                <w14:textFill>
                  <w14:solidFill>
                    <w14:schemeClr w14:val="tx1"/>
                  </w14:solidFill>
                </w14:textFill>
              </w:rPr>
              <w:t>2. Support of UL transmission in one UL subband and DL reception in one[/two DL subband in SBFD symbols</w:t>
            </w:r>
          </w:p>
          <w:p w14:paraId="6895406D">
            <w:pPr>
              <w:rPr>
                <w:rFonts w:hint="default" w:ascii="Arial" w:hAnsi="Arial" w:eastAsia="宋体" w:cs="Arial"/>
                <w:color w:val="000000" w:themeColor="text1"/>
                <w:sz w:val="18"/>
                <w:szCs w:val="18"/>
                <w:lang w:val="en-US" w:eastAsia="zh-CN"/>
                <w14:textFill>
                  <w14:solidFill>
                    <w14:schemeClr w14:val="tx1"/>
                  </w14:solidFill>
                </w14:textFill>
              </w:rPr>
            </w:pPr>
            <w:r>
              <w:rPr>
                <w:rFonts w:hint="eastAsia" w:eastAsia="宋体" w:cs="Arial"/>
                <w:color w:val="000000" w:themeColor="text1"/>
                <w:sz w:val="18"/>
                <w:szCs w:val="18"/>
                <w:lang w:val="en-US" w:eastAsia="zh-CN"/>
                <w14:textFill>
                  <w14:solidFill>
                    <w14:schemeClr w14:val="tx1"/>
                  </w14:solidFill>
                </w14:textFill>
              </w:rPr>
              <w:t>...</w:t>
            </w:r>
          </w:p>
        </w:tc>
      </w:tr>
    </w:tbl>
    <w:p w14:paraId="3C9345A0">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 xml:space="preserve">It could be seen that the support of simultaneous DL reception in 2 DL subbands is by default involved in the basic UE feature of SBFD. Therefore, the previous RAN4 requirements applicability should be updated with no distinguish between so-called </w:t>
      </w:r>
      <w:r>
        <w:rPr>
          <w:rFonts w:hint="default" w:cs="Arial"/>
          <w:lang w:val="en-US" w:eastAsia="zh-CN"/>
        </w:rPr>
        <w:t>“</w:t>
      </w:r>
      <w:r>
        <w:rPr>
          <w:rFonts w:hint="eastAsia" w:cs="Arial"/>
          <w:lang w:val="en-US" w:eastAsia="zh-CN"/>
        </w:rPr>
        <w:t>basic UE operation</w:t>
      </w:r>
      <w:r>
        <w:rPr>
          <w:rFonts w:hint="default" w:cs="Arial"/>
          <w:lang w:val="en-US" w:eastAsia="zh-CN"/>
        </w:rPr>
        <w:t>”</w:t>
      </w:r>
      <w:r>
        <w:rPr>
          <w:rFonts w:hint="eastAsia" w:cs="Arial"/>
          <w:lang w:val="en-US" w:eastAsia="zh-CN"/>
        </w:rPr>
        <w:t xml:space="preserve"> and </w:t>
      </w:r>
      <w:r>
        <w:rPr>
          <w:rFonts w:hint="default" w:cs="Arial"/>
          <w:lang w:val="en-US" w:eastAsia="zh-CN"/>
        </w:rPr>
        <w:t>“</w:t>
      </w:r>
      <w:r>
        <w:rPr>
          <w:rFonts w:hint="eastAsia" w:cs="Arial"/>
          <w:lang w:val="en-US" w:eastAsia="zh-CN"/>
        </w:rPr>
        <w:t>non basic UE operation</w:t>
      </w:r>
      <w:r>
        <w:rPr>
          <w:rFonts w:hint="default" w:cs="Arial"/>
          <w:lang w:val="en-US" w:eastAsia="zh-CN"/>
        </w:rPr>
        <w:t>”</w:t>
      </w:r>
      <w:r>
        <w:rPr>
          <w:rFonts w:hint="eastAsia" w:cs="Arial"/>
          <w:lang w:val="en-US" w:eastAsia="zh-CN"/>
        </w:rPr>
        <w:t>. In other word, the approved RAN4 requirements applicability is for the UE aware of SBFD feature(60-1).</w:t>
      </w:r>
    </w:p>
    <w:p w14:paraId="05D2A3F7">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Proposal 1: Based on RAN1 progress, the UE aware of SBFD by default supports simultaneous DL reception in 2 DL subbands, no additional UE capability. The previous requirements applicability is applied to any UE aware of SBFD.</w:t>
      </w:r>
    </w:p>
    <w:p w14:paraId="58BBE9E7">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u w:val="single"/>
          <w:lang w:val="sv-SE" w:eastAsia="zh-CN"/>
        </w:rPr>
        <w:t xml:space="preserve">Requirement </w:t>
      </w:r>
      <w:r>
        <w:rPr>
          <w:rFonts w:hint="eastAsia"/>
          <w:u w:val="single"/>
          <w:lang w:val="en-US" w:eastAsia="zh-CN"/>
        </w:rPr>
        <w:t>for RACH</w:t>
      </w:r>
    </w:p>
    <w:p w14:paraId="6BCEDE4A">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Regarding the requirements for RACH, based on RAN2 progress, the RACH occasion switch between legacy RACH occasions and additional RACH occasions are allowed to accelerate the RACH procedure. Such RACH occasions switch is still not captured into RAN4 spec, which leads to inconsistency between RAN2 and RAN4 specification.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51B38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0952E609">
            <w:pPr>
              <w:pStyle w:val="30"/>
              <w:numPr>
                <w:ilvl w:val="1"/>
                <w:numId w:val="3"/>
              </w:numPr>
              <w:overflowPunct/>
              <w:autoSpaceDE/>
              <w:autoSpaceDN/>
              <w:adjustRightInd/>
              <w:spacing w:after="120"/>
              <w:ind w:left="1440" w:firstLineChars="0"/>
              <w:textAlignment w:val="auto"/>
              <w:rPr>
                <w:rFonts w:eastAsia="宋体"/>
                <w:color w:val="auto"/>
                <w:szCs w:val="24"/>
                <w:lang w:eastAsia="zh-CN"/>
              </w:rPr>
            </w:pPr>
            <w:r>
              <w:rPr>
                <w:rFonts w:eastAsia="宋体"/>
                <w:color w:val="auto"/>
                <w:szCs w:val="24"/>
                <w:lang w:eastAsia="zh-CN"/>
              </w:rPr>
              <w:t xml:space="preserve">Proposal 1: </w:t>
            </w:r>
          </w:p>
          <w:p w14:paraId="4A911C8C">
            <w:pPr>
              <w:pStyle w:val="30"/>
              <w:numPr>
                <w:ilvl w:val="2"/>
                <w:numId w:val="3"/>
              </w:numPr>
              <w:ind w:firstLineChars="0"/>
              <w:rPr>
                <w:rFonts w:hint="eastAsia" w:cs="Arial"/>
                <w:vertAlign w:val="baseline"/>
                <w:lang w:val="en-US" w:eastAsia="zh-CN"/>
              </w:rPr>
            </w:pPr>
            <w:r>
              <w:t xml:space="preserve">The requirements for 4-step RA type in clause 6.2.2.2 are updated to take into account the RO-type change procedure on RO type selection from legacy RO to additional RO in SBFD symbols, and the RO type selection from additional RO to legacy RO, as agreed in RAN2. </w:t>
            </w:r>
          </w:p>
        </w:tc>
      </w:tr>
    </w:tbl>
    <w:p w14:paraId="472DA0EE">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All RAN2 relevant progress were summarized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2CAAE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34337805">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eastAsia="宋体"/>
                <w:lang w:val="en-US" w:eastAsia="zh-CN"/>
              </w:rPr>
            </w:pPr>
            <w:r>
              <w:rPr>
                <w:rFonts w:hint="eastAsia" w:eastAsia="宋体"/>
                <w:highlight w:val="green"/>
                <w:lang w:val="en-US" w:eastAsia="zh-CN"/>
              </w:rPr>
              <w:t xml:space="preserve">Agreement </w:t>
            </w:r>
            <w:r>
              <w:rPr>
                <w:rFonts w:hint="eastAsia" w:eastAsia="宋体"/>
                <w:lang w:val="en-US" w:eastAsia="zh-CN"/>
              </w:rPr>
              <w:t>in RAN2#127bis meeting:</w:t>
            </w:r>
          </w:p>
          <w:p w14:paraId="13AED34D">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lang w:val="en-US"/>
              </w:rPr>
            </w:pPr>
            <w:r>
              <w:rPr>
                <w:lang w:val="en-US"/>
              </w:rPr>
              <w:t>For the PRACH transmission re-attempt in one RACH procedure, aft</w:t>
            </w:r>
            <w:r>
              <w:rPr>
                <w:highlight w:val="none"/>
                <w:lang w:val="en-US"/>
              </w:rPr>
              <w:t>er certain (configured) number o</w:t>
            </w:r>
            <w:r>
              <w:rPr>
                <w:lang w:val="en-US"/>
              </w:rPr>
              <w:t>f times of RACH attempt in SBFD RACH occasions, UE is allowed to switch to legacy RACH occasions. FFS about the case when UE select legacy ROs first.  </w:t>
            </w:r>
          </w:p>
          <w:p w14:paraId="4142273C">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lang w:val="en-US"/>
              </w:rPr>
            </w:pPr>
            <w:r>
              <w:rPr>
                <w:rFonts w:hint="eastAsia" w:eastAsia="宋体"/>
                <w:highlight w:val="green"/>
                <w:lang w:val="en-US" w:eastAsia="zh-CN"/>
              </w:rPr>
              <w:t xml:space="preserve">Agreement </w:t>
            </w:r>
            <w:r>
              <w:rPr>
                <w:rFonts w:hint="eastAsia" w:eastAsia="宋体"/>
                <w:lang w:val="en-US" w:eastAsia="zh-CN"/>
              </w:rPr>
              <w:t>in RAN2#128bis meeting:</w:t>
            </w:r>
          </w:p>
          <w:p w14:paraId="6C1D94E8">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lang w:val="en-US" w:eastAsia="zh-CN"/>
              </w:rPr>
            </w:pPr>
            <w:r>
              <w:rPr>
                <w:lang w:val="en-US" w:eastAsia="zh-CN"/>
              </w:rPr>
              <w:t>RO-Type change procedure on RO type selection from legacy RO to additional RO in SBFD symbols is supported when the number of PRACH transmission attempts excee</w:t>
            </w:r>
            <w:r>
              <w:rPr>
                <w:highlight w:val="none"/>
                <w:lang w:val="en-US" w:eastAsia="zh-CN"/>
              </w:rPr>
              <w:t>d a threshold (</w:t>
            </w:r>
            <w:r>
              <w:rPr>
                <w:lang w:val="en-US" w:eastAsia="zh-CN"/>
              </w:rPr>
              <w:t xml:space="preserve">we assume it is the same threshold with the fallback from additional RO to legacy RO). If fallback from legacy RO to additional RO occurs, no further fallback to legacy RO is supported. </w:t>
            </w:r>
          </w:p>
          <w:p w14:paraId="46F49835">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lang w:val="en-US"/>
              </w:rPr>
            </w:pPr>
            <w:r>
              <w:rPr>
                <w:rFonts w:hint="eastAsia" w:eastAsia="宋体"/>
                <w:highlight w:val="green"/>
                <w:lang w:val="en-US" w:eastAsia="zh-CN"/>
              </w:rPr>
              <w:t xml:space="preserve">Agreement </w:t>
            </w:r>
            <w:r>
              <w:rPr>
                <w:rFonts w:hint="eastAsia" w:eastAsia="宋体"/>
                <w:lang w:val="en-US" w:eastAsia="zh-CN"/>
              </w:rPr>
              <w:t>in RAN2#130 meeting:</w:t>
            </w:r>
          </w:p>
          <w:p w14:paraId="7C55FFFC">
            <w:pPr>
              <w:pStyle w:val="67"/>
              <w:numPr>
                <w:ilvl w:val="0"/>
                <w:numId w:val="0"/>
              </w:numPr>
              <w:rPr>
                <w:rFonts w:hint="default"/>
                <w:lang w:val="en-US" w:eastAsia="zh-CN"/>
              </w:rPr>
            </w:pPr>
            <w:r>
              <w:rPr>
                <w:rFonts w:ascii="Arial" w:hAnsi="Arial" w:eastAsia="MS Mincho" w:cs="Times New Roman"/>
                <w:b w:val="0"/>
                <w:szCs w:val="24"/>
                <w:lang w:val="en-US" w:eastAsia="zh-CN" w:bidi="ar-SA"/>
              </w:rPr>
              <w:t>F</w:t>
            </w:r>
            <w:r>
              <w:rPr>
                <w:rFonts w:hint="eastAsia" w:ascii="Arial" w:hAnsi="Arial" w:eastAsia="MS Mincho" w:cs="Times New Roman"/>
                <w:b w:val="0"/>
                <w:szCs w:val="24"/>
                <w:lang w:val="en-US" w:eastAsia="zh-CN" w:bidi="ar-SA"/>
              </w:rPr>
              <w:t xml:space="preserve">or L3 HO and BFR cases, CSI-RS based CFRA using SBFD RO is supported from RAN2 perspective. </w:t>
            </w:r>
            <w:r>
              <w:rPr>
                <w:rFonts w:ascii="Arial" w:hAnsi="Arial" w:eastAsia="MS Mincho" w:cs="Times New Roman"/>
                <w:b w:val="0"/>
                <w:szCs w:val="24"/>
                <w:lang w:val="en-US" w:eastAsia="zh-CN" w:bidi="ar-SA"/>
              </w:rPr>
              <w:t>S</w:t>
            </w:r>
            <w:r>
              <w:rPr>
                <w:rFonts w:hint="eastAsia" w:ascii="Arial" w:hAnsi="Arial" w:eastAsia="MS Mincho" w:cs="Times New Roman"/>
                <w:b w:val="0"/>
                <w:szCs w:val="24"/>
                <w:lang w:val="en-US" w:eastAsia="zh-CN" w:bidi="ar-SA"/>
              </w:rPr>
              <w:t xml:space="preserve">end LS to RAN1/4 to inform </w:t>
            </w:r>
            <w:r>
              <w:rPr>
                <w:rFonts w:ascii="Arial" w:hAnsi="Arial" w:eastAsia="MS Mincho" w:cs="Times New Roman"/>
                <w:b w:val="0"/>
                <w:szCs w:val="24"/>
                <w:lang w:val="en-US" w:eastAsia="zh-CN" w:bidi="ar-SA"/>
              </w:rPr>
              <w:t>this</w:t>
            </w:r>
            <w:r>
              <w:rPr>
                <w:rFonts w:hint="eastAsia" w:ascii="Arial" w:hAnsi="Arial" w:eastAsia="MS Mincho" w:cs="Times New Roman"/>
                <w:b w:val="0"/>
                <w:szCs w:val="24"/>
                <w:lang w:val="en-US" w:eastAsia="zh-CN" w:bidi="ar-SA"/>
              </w:rPr>
              <w:t xml:space="preserve"> conclusion. </w:t>
            </w:r>
          </w:p>
        </w:tc>
      </w:tr>
    </w:tbl>
    <w:p w14:paraId="0B44FE32">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cs="Arial"/>
          <w:lang w:val="en-US" w:eastAsia="zh-CN"/>
        </w:rPr>
        <w:t xml:space="preserve">Furthermore, it should be noted that for CFRA including L3 HO and BFR cases, RAN2 confirmed the CSI-RS based additional RO in SBFD symbols and sent LS to inform RAN1 and RAN4 in [7]. Which implies for SSB based CBRA and CFRA, the RO type change between legacy SSB based RO and additional SSB based RO </w:t>
      </w:r>
      <w:r>
        <w:rPr>
          <w:lang w:val="en-US" w:eastAsia="zh-CN"/>
        </w:rPr>
        <w:t>in SBFD symbols</w:t>
      </w:r>
      <w:r>
        <w:rPr>
          <w:rFonts w:hint="eastAsia"/>
          <w:lang w:val="en-US" w:eastAsia="zh-CN"/>
        </w:rPr>
        <w:t xml:space="preserve"> </w:t>
      </w:r>
      <w:r>
        <w:rPr>
          <w:rFonts w:hint="eastAsia" w:cs="Arial"/>
          <w:lang w:val="en-US" w:eastAsia="zh-CN"/>
        </w:rPr>
        <w:t xml:space="preserve">is allowed. At the meanwhile, for the CSI-RS based CFRA for L3 HO and BFR cases, the RO type change between legacy CSI-RS based RO and additional CSI-RS based RO </w:t>
      </w:r>
      <w:r>
        <w:rPr>
          <w:lang w:val="en-US" w:eastAsia="zh-CN"/>
        </w:rPr>
        <w:t>in SBFD symbols</w:t>
      </w:r>
      <w:r>
        <w:rPr>
          <w:rFonts w:hint="eastAsia"/>
          <w:lang w:val="en-US" w:eastAsia="zh-CN"/>
        </w:rPr>
        <w:t xml:space="preserve"> </w:t>
      </w:r>
      <w:r>
        <w:rPr>
          <w:rFonts w:hint="eastAsia" w:cs="Arial"/>
          <w:lang w:val="en-US" w:eastAsia="zh-CN"/>
        </w:rPr>
        <w:t>is allowed as well. We can not see any concern on RAN2 decision. The relevant updates in clause 6.2.2.2.1 and 6.2.2.2.2 are needed to capture the RAN2 progress. We provide a draft CR in this meeting to capture the revision based on the endorsed big CR.</w:t>
      </w:r>
    </w:p>
    <w:p w14:paraId="1CC41C1A">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 xml:space="preserve">Proposal 2: The requirements for 4-step RA type in clause 6.2.2.2.1 and 6.2.2.2.2 are updated to take into account the RO-type change procedure on RO type selection from legacy RO to additional RO in SBFD symbols, and the RO type selection from additional RO to legacy RO, as agreed in RAN2. </w:t>
      </w:r>
    </w:p>
    <w:p w14:paraId="52166B85">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eastAsia"/>
          <w:b/>
          <w:bCs/>
          <w:lang w:val="en-US" w:eastAsia="zh-CN"/>
        </w:rPr>
      </w:pPr>
      <w:r>
        <w:rPr>
          <w:rFonts w:hint="eastAsia"/>
          <w:b/>
          <w:bCs/>
          <w:lang w:val="en-US" w:eastAsia="zh-CN"/>
        </w:rPr>
        <w:t>- For SSB based, the RO-type change is allowed for CBRA and CFRA;</w:t>
      </w:r>
    </w:p>
    <w:p w14:paraId="7548DAD2">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eastAsia"/>
          <w:b/>
          <w:bCs/>
          <w:lang w:val="en-US" w:eastAsia="zh-CN"/>
        </w:rPr>
        <w:t>- For CSI-RS based, the RO-type change is allowed for L3 HO and BFR cases of CFRA.</w:t>
      </w:r>
    </w:p>
    <w:p w14:paraId="326A03D8">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u w:val="single"/>
          <w:lang w:val="en-US" w:eastAsia="zh-CN"/>
        </w:rPr>
      </w:pPr>
      <w:r>
        <w:rPr>
          <w:rFonts w:hint="eastAsia"/>
          <w:u w:val="single"/>
          <w:lang w:val="en-US" w:eastAsia="zh-CN"/>
        </w:rPr>
        <w:t>Applicable scenario</w:t>
      </w:r>
    </w:p>
    <w:p w14:paraId="5ADD45E6">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 xml:space="preserve">We noted that one LS[8] was sent to RAN4 and RAN1 from RAN2 in India meeting, to discuss the applicability of SFBC in DC scenario.  </w:t>
      </w:r>
    </w:p>
    <w:p w14:paraId="7F26D52B">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Firstly whether allow SFBC in DC scenario, we can not see RAN4 requirements impact from DC scenario. Furthermore, actually until now not any explicit agreement was approved in RAN4 to exclude the DC scenario from SFBD operation.</w:t>
      </w:r>
    </w:p>
    <w:p w14:paraId="2510B928">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Regarding the feasibility of supporting DC scenario, RAN3 has already approved the coordination between gNBs via XnAP message for the sake of SBFD time/frequency configuration. The XnAP setup message is also the initial step to establish DC between MN and SN.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3522B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549D7B4F">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b/>
                <w:sz w:val="20"/>
                <w:szCs w:val="20"/>
              </w:rPr>
            </w:pPr>
            <w:r>
              <w:rPr>
                <w:rFonts w:hint="eastAsia"/>
                <w:b/>
                <w:sz w:val="20"/>
                <w:szCs w:val="20"/>
                <w:highlight w:val="green"/>
              </w:rPr>
              <w:t>RAN3#126</w:t>
            </w:r>
            <w:r>
              <w:rPr>
                <w:b/>
                <w:sz w:val="20"/>
                <w:szCs w:val="20"/>
                <w:highlight w:val="green"/>
              </w:rPr>
              <w:t xml:space="preserve"> agreement</w:t>
            </w:r>
          </w:p>
          <w:p w14:paraId="4CA4AD19">
            <w:pPr>
              <w:pStyle w:val="9"/>
              <w:keepNext w:val="0"/>
              <w:keepLines w:val="0"/>
              <w:pageBreakBefore w:val="0"/>
              <w:widowControl/>
              <w:numPr>
                <w:ilvl w:val="0"/>
                <w:numId w:val="0"/>
              </w:numPr>
              <w:kinsoku/>
              <w:wordWrap/>
              <w:overflowPunct/>
              <w:topLinePunct w:val="0"/>
              <w:autoSpaceDE/>
              <w:autoSpaceDN/>
              <w:bidi w:val="0"/>
              <w:adjustRightInd/>
              <w:snapToGrid/>
              <w:spacing w:after="0"/>
              <w:ind w:leftChars="100"/>
              <w:textAlignment w:val="auto"/>
              <w:rPr>
                <w:rFonts w:hint="default" w:cs="Arial"/>
                <w:vertAlign w:val="baseline"/>
                <w:lang w:val="en-US" w:eastAsia="zh-CN"/>
              </w:rPr>
            </w:pPr>
            <w:r>
              <w:rPr>
                <w:sz w:val="18"/>
                <w:szCs w:val="18"/>
              </w:rPr>
              <w:t>The SBFD time and frequency location configuration with cell granularity in Served Cell Information NR IE shall be introduced in XnAP XN SETUP REQUEST message, XnAP XN SETUP RESPONSE message, XnAP NG-RAN NODE CONFIGURATION UPDATE message and XnAP NG-RAN NODE CONFIGURATION UPDATE ACKNOWLEDGE message.</w:t>
            </w:r>
          </w:p>
        </w:tc>
      </w:tr>
    </w:tbl>
    <w:p w14:paraId="342DFEFE">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vertAlign w:val="baseline"/>
          <w:lang w:val="en-US" w:eastAsia="zh-CN"/>
        </w:rPr>
      </w:pPr>
      <w:r>
        <w:rPr>
          <w:rFonts w:hint="eastAsia" w:cs="Arial"/>
          <w:lang w:val="en-US" w:eastAsia="zh-CN"/>
        </w:rPr>
        <w:t>Meanwhile, RAN1 has also confirmed the feasibility of applying SBFD in DC as the highlighted part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62837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1A8E4264">
            <w:pPr>
              <w:adjustRightInd w:val="0"/>
              <w:snapToGrid w:val="0"/>
              <w:spacing w:before="156" w:beforeLines="50" w:after="156" w:afterLines="50" w:line="240" w:lineRule="auto"/>
              <w:rPr>
                <w:rFonts w:ascii="Times New Roman" w:hAnsi="Times New Roman" w:eastAsia="宋体"/>
                <w:sz w:val="20"/>
                <w:szCs w:val="20"/>
                <w:lang w:val="en-US" w:eastAsia="zh-CN"/>
              </w:rPr>
            </w:pPr>
            <w:r>
              <w:rPr>
                <w:rFonts w:ascii="Times New Roman" w:hAnsi="Times New Roman" w:eastAsia="宋体"/>
                <w:sz w:val="20"/>
                <w:szCs w:val="20"/>
                <w:highlight w:val="green"/>
                <w:lang w:val="en-US" w:eastAsia="zh-CN"/>
              </w:rPr>
              <w:t>Agreement</w:t>
            </w:r>
          </w:p>
          <w:p w14:paraId="7E04026E">
            <w:pPr>
              <w:adjustRightInd w:val="0"/>
              <w:snapToGrid w:val="0"/>
              <w:spacing w:before="156" w:beforeLines="50" w:after="156" w:afterLines="50" w:line="240" w:lineRule="auto"/>
              <w:rPr>
                <w:rFonts w:ascii="Times New Roman" w:hAnsi="Times New Roman" w:eastAsia="宋体"/>
                <w:sz w:val="20"/>
                <w:szCs w:val="20"/>
                <w:lang w:val="en-US" w:eastAsia="zh-CN"/>
              </w:rPr>
            </w:pPr>
            <w:r>
              <w:rPr>
                <w:rFonts w:ascii="Times New Roman" w:hAnsi="Times New Roman" w:eastAsia="宋体"/>
                <w:sz w:val="20"/>
                <w:szCs w:val="20"/>
                <w:lang w:val="en-US" w:eastAsia="zh-CN"/>
              </w:rPr>
              <w:t>-</w:t>
            </w:r>
            <w:r>
              <w:rPr>
                <w:rFonts w:ascii="Times New Roman" w:hAnsi="Times New Roman" w:eastAsia="宋体"/>
                <w:sz w:val="20"/>
                <w:szCs w:val="20"/>
                <w:lang w:val="en-US" w:eastAsia="zh-CN"/>
              </w:rPr>
              <w:tab/>
            </w:r>
            <w:r>
              <w:rPr>
                <w:rFonts w:ascii="Times New Roman" w:hAnsi="Times New Roman" w:eastAsia="宋体"/>
                <w:sz w:val="20"/>
                <w:szCs w:val="20"/>
                <w:highlight w:val="cyan"/>
                <w:lang w:val="en-US" w:eastAsia="zh-CN"/>
              </w:rPr>
              <w:t>From RAN1 perspective, considering the specification impact, SBFD and NR-DC can be configured simultaneously only for inter-band NR-DC</w:t>
            </w:r>
            <w:r>
              <w:rPr>
                <w:rFonts w:ascii="Times New Roman" w:hAnsi="Times New Roman" w:eastAsia="宋体"/>
                <w:sz w:val="20"/>
                <w:szCs w:val="20"/>
                <w:lang w:val="en-US" w:eastAsia="zh-CN"/>
              </w:rPr>
              <w:t xml:space="preserve"> if a UE is capable of simultaneous transmission and reception indicated by UE capability simultaneousRxTxInterBandCA, where SBFD operation is applicable on only one NR TDD carrier. </w:t>
            </w:r>
          </w:p>
          <w:p w14:paraId="1D29136B">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b/>
                <w:bCs/>
                <w:vertAlign w:val="baseline"/>
                <w:lang w:val="en-US" w:eastAsia="zh-CN"/>
              </w:rPr>
            </w:pPr>
            <w:r>
              <w:rPr>
                <w:rFonts w:ascii="Times New Roman" w:hAnsi="Times New Roman" w:eastAsia="宋体"/>
                <w:sz w:val="20"/>
                <w:szCs w:val="20"/>
                <w:lang w:val="en-US" w:eastAsia="zh-CN"/>
              </w:rPr>
              <w:t>-</w:t>
            </w:r>
            <w:r>
              <w:rPr>
                <w:rFonts w:ascii="Times New Roman" w:hAnsi="Times New Roman" w:eastAsia="宋体"/>
                <w:sz w:val="20"/>
                <w:szCs w:val="20"/>
                <w:lang w:val="en-US" w:eastAsia="zh-CN"/>
              </w:rPr>
              <w:tab/>
            </w:r>
            <w:r>
              <w:rPr>
                <w:rFonts w:ascii="Times New Roman" w:hAnsi="Times New Roman" w:eastAsia="宋体"/>
                <w:sz w:val="20"/>
                <w:szCs w:val="20"/>
                <w:lang w:val="en-US" w:eastAsia="zh-CN"/>
              </w:rPr>
              <w:t>Inform RAN2 that specification impact to support this feature is not restricted to RAN1 but might result in specification impact on RAN4 as well. If supported, at least the following specification change to TS 38.213 should be adopted and the RAN4 specification for the configured transmitted power level for NR-DC in TS38.101-1 Clause 6.2B.4.1 may also need to be updated accordingly.</w:t>
            </w:r>
          </w:p>
        </w:tc>
      </w:tr>
    </w:tbl>
    <w:p w14:paraId="6B3168D1">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In RAN2 LS sent to RAN1 and RAN4, RAN2 also confirm the feasibility form the perspective of RAN2 specification impact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61814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0BED3842">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vertAlign w:val="baseline"/>
                <w:lang w:val="en-US" w:eastAsia="zh-CN"/>
              </w:rPr>
            </w:pPr>
            <w:r>
              <w:rPr>
                <w:rFonts w:ascii="Arial" w:hAnsi="Arial" w:eastAsia="Malgun Gothic" w:cs="Arial"/>
                <w:lang w:eastAsia="zh-CN"/>
              </w:rPr>
              <w:t>RAN2 evaluated the specification impact to support simultaneous configuration of SBFD and DC, and concluded the following: From RAN2 point of view there may be limited specification impact (i.e., stage-2 impact but no need to introduce stage-3 spec impact). Send LS to RAN4 and RAN1 (cc RAN3) to inform this conclusion.</w:t>
            </w:r>
          </w:p>
        </w:tc>
      </w:tr>
    </w:tbl>
    <w:p w14:paraId="4073D6C7">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 xml:space="preserve">From our side, the feasibility of support SBFD in DC scenario is confirmed, DC is one of the applicable scenarios for SBFD operation. In this meeting, we also provide a draft on the LS reply to RAN2 in our another paper. </w:t>
      </w:r>
    </w:p>
    <w:p w14:paraId="3EC2ED9D">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b/>
          <w:bCs/>
          <w:lang w:val="en-US" w:eastAsia="zh-CN"/>
        </w:rPr>
        <w:t xml:space="preserve">Proposal 3: Based on the feasibility analysis, SBFD operation is applicable in DC scenario. </w:t>
      </w:r>
    </w:p>
    <w:p w14:paraId="038BF56C">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lang w:val="en-US" w:eastAsia="zh-CN"/>
        </w:rPr>
        <w:t xml:space="preserve">The </w:t>
      </w:r>
      <w:r>
        <w:rPr>
          <w:rFonts w:eastAsia="宋体"/>
          <w:color w:val="auto"/>
          <w:lang w:val="en-US" w:eastAsia="zh-CN"/>
        </w:rPr>
        <w:t>Conclusion</w:t>
      </w:r>
    </w:p>
    <w:p w14:paraId="7F451270">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aspects around SBFD</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14:paraId="55743D52">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1: Based on RAN1 progress, the UE capable of SBFD by default supports simultaneous DL reception in 2 DL subbands, no additional UE capability. The previous requirements applicability is applied to any UE capable of SBFD.</w:t>
      </w:r>
    </w:p>
    <w:p w14:paraId="270D6FDC">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 xml:space="preserve">Proposal 2: The requirements for 4-step RA type in clause 6.2.2.2.1 and 6.2.2.2.2 are updated to take into account the RO-type change procedure on RO type selection from legacy RO to additional RO in SBFD symbols, and the RO type selection from additional RO to legacy RO, as agreed in RAN2. </w:t>
      </w:r>
    </w:p>
    <w:p w14:paraId="2597906F">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eastAsia"/>
          <w:b/>
          <w:bCs/>
          <w:lang w:val="en-US" w:eastAsia="zh-CN"/>
        </w:rPr>
      </w:pPr>
      <w:r>
        <w:rPr>
          <w:rFonts w:hint="eastAsia"/>
          <w:b/>
          <w:bCs/>
          <w:lang w:val="en-US" w:eastAsia="zh-CN"/>
        </w:rPr>
        <w:t>- For SSB based, the RO-type change is allowed for CBRA and CFRA;</w:t>
      </w:r>
    </w:p>
    <w:p w14:paraId="186B6FF5">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eastAsia"/>
          <w:b/>
          <w:bCs/>
          <w:lang w:val="en-US" w:eastAsia="zh-CN"/>
        </w:rPr>
        <w:t>- For CSI-RS based, the RO-type change is allowed for L3 HO and BFR cases of CFRA.</w:t>
      </w:r>
    </w:p>
    <w:p w14:paraId="75787604">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b/>
          <w:bCs/>
          <w:lang w:val="en-US" w:eastAsia="zh-CN"/>
        </w:rPr>
        <w:t>Proposal 3: Based on the feasibility analysis, SBFD operation is applicable in DC scenario.</w:t>
      </w:r>
    </w:p>
    <w:p w14:paraId="28FCE2FE">
      <w:pPr>
        <w:pStyle w:val="9"/>
        <w:tabs>
          <w:tab w:val="left" w:pos="226"/>
          <w:tab w:val="left" w:pos="284"/>
          <w:tab w:val="left" w:pos="5103"/>
        </w:tabs>
        <w:snapToGrid w:val="0"/>
        <w:rPr>
          <w:rFonts w:hint="eastAsia" w:eastAsia="宋体"/>
          <w:bCs/>
          <w:color w:val="auto"/>
          <w:sz w:val="20"/>
          <w:szCs w:val="20"/>
          <w:lang w:val="en-US" w:eastAsia="zh-CN"/>
        </w:rPr>
      </w:pPr>
      <w:bookmarkStart w:id="0" w:name="_GoBack"/>
      <w:bookmarkEnd w:id="0"/>
    </w:p>
    <w:p w14:paraId="70F6FEF6">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1729D9B1">
      <w:pPr>
        <w:pStyle w:val="10"/>
        <w:numPr>
          <w:ilvl w:val="0"/>
          <w:numId w:val="7"/>
        </w:numPr>
        <w:ind w:leftChars="0"/>
        <w:rPr>
          <w:rFonts w:hint="eastAsia"/>
          <w:color w:val="auto"/>
          <w:sz w:val="20"/>
          <w:szCs w:val="20"/>
          <w:highlight w:val="none"/>
          <w:lang w:val="en-US" w:eastAsia="zh-CN"/>
        </w:rPr>
      </w:pPr>
      <w:r>
        <w:rPr>
          <w:rFonts w:hint="eastAsia"/>
          <w:lang w:val="en-US" w:eastAsia="zh-CN"/>
        </w:rPr>
        <w:t xml:space="preserve">R4-2413900, </w:t>
      </w:r>
      <w:r>
        <w:rPr>
          <w:rFonts w:hint="default"/>
          <w:lang w:val="en-US" w:eastAsia="zh-CN"/>
        </w:rPr>
        <w:t>“WF on RRM requirements for NR_duplex_evo”</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RAN4#112, 2025.</w:t>
      </w:r>
    </w:p>
    <w:p w14:paraId="7A2443CB">
      <w:pPr>
        <w:pStyle w:val="10"/>
        <w:numPr>
          <w:ilvl w:val="0"/>
          <w:numId w:val="7"/>
        </w:numPr>
        <w:ind w:leftChars="0"/>
        <w:rPr>
          <w:rFonts w:hint="eastAsia"/>
          <w:color w:val="auto"/>
          <w:sz w:val="20"/>
          <w:szCs w:val="20"/>
          <w:highlight w:val="none"/>
          <w:lang w:val="en-US" w:eastAsia="zh-CN"/>
        </w:rPr>
      </w:pPr>
      <w:r>
        <w:rPr>
          <w:rFonts w:hint="eastAsia"/>
          <w:lang w:val="en-US" w:eastAsia="zh-CN"/>
        </w:rPr>
        <w:t xml:space="preserve">R4-2416858, </w:t>
      </w:r>
      <w:r>
        <w:rPr>
          <w:rFonts w:hint="default"/>
          <w:lang w:val="en-US" w:eastAsia="zh-CN"/>
        </w:rPr>
        <w:t>“WF on RRM requirements for NR_duplex_evo”</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RAN4#112bis, 2025.</w:t>
      </w:r>
    </w:p>
    <w:p w14:paraId="3F635295">
      <w:pPr>
        <w:pStyle w:val="10"/>
        <w:numPr>
          <w:ilvl w:val="0"/>
          <w:numId w:val="7"/>
        </w:numPr>
        <w:ind w:leftChars="0"/>
        <w:rPr>
          <w:rFonts w:hint="eastAsia"/>
          <w:color w:val="auto"/>
          <w:sz w:val="20"/>
          <w:szCs w:val="20"/>
          <w:highlight w:val="none"/>
          <w:lang w:val="en-US" w:eastAsia="zh-CN"/>
        </w:rPr>
      </w:pPr>
      <w:r>
        <w:rPr>
          <w:rFonts w:hint="eastAsia"/>
          <w:lang w:val="en-US" w:eastAsia="zh-CN"/>
        </w:rPr>
        <w:t xml:space="preserve">R4-2420097, </w:t>
      </w:r>
      <w:r>
        <w:rPr>
          <w:rFonts w:hint="default"/>
          <w:lang w:val="en-US" w:eastAsia="zh-CN"/>
        </w:rPr>
        <w:t>“WF on RRM requirements for NR_duplex_evo”</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RAN4#113, 2025.</w:t>
      </w:r>
    </w:p>
    <w:p w14:paraId="2702304C">
      <w:pPr>
        <w:pStyle w:val="10"/>
        <w:numPr>
          <w:ilvl w:val="0"/>
          <w:numId w:val="7"/>
        </w:numPr>
        <w:ind w:leftChars="0"/>
        <w:rPr>
          <w:rFonts w:hint="eastAsia"/>
          <w:color w:val="auto"/>
          <w:sz w:val="20"/>
          <w:szCs w:val="20"/>
          <w:highlight w:val="none"/>
          <w:lang w:val="en-US" w:eastAsia="zh-CN"/>
        </w:rPr>
      </w:pPr>
      <w:r>
        <w:rPr>
          <w:rFonts w:hint="eastAsia"/>
          <w:lang w:val="en-US" w:eastAsia="zh-CN"/>
        </w:rPr>
        <w:t xml:space="preserve">R4-2502597, </w:t>
      </w:r>
      <w:r>
        <w:rPr>
          <w:rFonts w:hint="default"/>
          <w:lang w:val="en-US" w:eastAsia="zh-CN"/>
        </w:rPr>
        <w:t>“WF on RRM requirements for NR_duplex_evo”</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RAN4#114, 2025.</w:t>
      </w:r>
    </w:p>
    <w:p w14:paraId="359747BE">
      <w:pPr>
        <w:pStyle w:val="10"/>
        <w:numPr>
          <w:ilvl w:val="0"/>
          <w:numId w:val="7"/>
        </w:numPr>
        <w:ind w:leftChars="0"/>
        <w:rPr>
          <w:rFonts w:hint="eastAsia"/>
          <w:color w:val="auto"/>
          <w:sz w:val="20"/>
          <w:szCs w:val="20"/>
          <w:highlight w:val="none"/>
          <w:lang w:val="en-US" w:eastAsia="zh-CN"/>
        </w:rPr>
      </w:pPr>
      <w:r>
        <w:rPr>
          <w:rFonts w:hint="eastAsia"/>
          <w:lang w:val="en-US" w:eastAsia="zh-CN"/>
        </w:rPr>
        <w:t xml:space="preserve">R4-2508274, </w:t>
      </w:r>
      <w:r>
        <w:rPr>
          <w:rFonts w:hint="default"/>
          <w:lang w:val="en-US" w:eastAsia="zh-CN"/>
        </w:rPr>
        <w:t>“WF on RRM requirements for NR_duplex_evo”</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RAN4#115, 2025.</w:t>
      </w:r>
    </w:p>
    <w:p w14:paraId="0F78A020">
      <w:pPr>
        <w:pStyle w:val="10"/>
        <w:numPr>
          <w:ilvl w:val="0"/>
          <w:numId w:val="7"/>
        </w:numPr>
        <w:ind w:leftChars="0"/>
        <w:rPr>
          <w:rFonts w:hint="eastAsia"/>
          <w:color w:val="auto"/>
          <w:sz w:val="20"/>
          <w:szCs w:val="20"/>
          <w:highlight w:val="none"/>
          <w:lang w:val="en-US" w:eastAsia="zh-CN"/>
        </w:rPr>
      </w:pPr>
      <w:r>
        <w:rPr>
          <w:rFonts w:hint="eastAsia"/>
          <w:lang w:val="en-US" w:eastAsia="zh-CN"/>
        </w:rPr>
        <w:t xml:space="preserve">R4-2512133, </w:t>
      </w:r>
      <w:r>
        <w:rPr>
          <w:rFonts w:hint="default"/>
          <w:lang w:val="en-US" w:eastAsia="zh-CN"/>
        </w:rPr>
        <w:t>“WF on RRM requirements for NR_duplex_evo”</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RAN4#116, 2025.</w:t>
      </w:r>
    </w:p>
    <w:p w14:paraId="76F74CD5">
      <w:pPr>
        <w:pStyle w:val="10"/>
        <w:numPr>
          <w:ilvl w:val="0"/>
          <w:numId w:val="7"/>
        </w:numPr>
        <w:ind w:leftChars="0"/>
        <w:rPr>
          <w:rFonts w:hint="eastAsia"/>
          <w:color w:val="auto"/>
          <w:sz w:val="20"/>
          <w:szCs w:val="20"/>
          <w:highlight w:val="none"/>
          <w:lang w:val="en-US" w:eastAsia="zh-CN"/>
        </w:rPr>
      </w:pPr>
      <w:r>
        <w:rPr>
          <w:rFonts w:hint="eastAsia" w:cs="Arial"/>
          <w:color w:val="000000"/>
          <w:sz w:val="22"/>
          <w:lang w:val="en-US" w:eastAsia="zh-CN"/>
        </w:rPr>
        <w:t xml:space="preserve">R2-2504951, </w:t>
      </w:r>
      <w:r>
        <w:rPr>
          <w:rFonts w:hint="default" w:cs="Arial"/>
          <w:color w:val="000000"/>
          <w:sz w:val="22"/>
          <w:lang w:val="en-US" w:eastAsia="zh-CN"/>
        </w:rPr>
        <w:t>“LS on CSI-RS based CFRA using SBFD RO”</w:t>
      </w:r>
      <w:r>
        <w:rPr>
          <w:rFonts w:hint="eastAsia" w:cs="Arial"/>
          <w:color w:val="000000"/>
          <w:sz w:val="22"/>
          <w:lang w:val="en-US" w:eastAsia="zh-CN"/>
        </w:rPr>
        <w:t>, ZTE, 3GPP RAN2#130, 2025.</w:t>
      </w:r>
    </w:p>
    <w:p w14:paraId="528B51C1">
      <w:pPr>
        <w:pStyle w:val="10"/>
        <w:numPr>
          <w:ilvl w:val="0"/>
          <w:numId w:val="7"/>
        </w:numPr>
        <w:ind w:leftChars="0"/>
        <w:rPr>
          <w:rFonts w:hint="eastAsia"/>
          <w:color w:val="auto"/>
          <w:sz w:val="20"/>
          <w:szCs w:val="20"/>
          <w:highlight w:val="none"/>
          <w:lang w:val="en-US" w:eastAsia="zh-CN"/>
        </w:rPr>
      </w:pPr>
      <w:r>
        <w:rPr>
          <w:rFonts w:hint="eastAsia" w:cs="Arial"/>
          <w:color w:val="000000"/>
          <w:sz w:val="22"/>
          <w:lang w:val="en-US" w:eastAsia="zh-CN"/>
        </w:rPr>
        <w:t xml:space="preserve">R4-2513014, </w:t>
      </w:r>
      <w:r>
        <w:rPr>
          <w:rFonts w:hint="default" w:cs="Arial"/>
          <w:color w:val="000000"/>
          <w:sz w:val="22"/>
          <w:lang w:val="en-US" w:eastAsia="zh-CN"/>
        </w:rPr>
        <w:t>“Reply LS on simultaneous configuration of SBFD and DC”</w:t>
      </w:r>
      <w:r>
        <w:rPr>
          <w:rFonts w:hint="eastAsia" w:cs="Arial"/>
          <w:color w:val="000000"/>
          <w:sz w:val="22"/>
          <w:lang w:val="en-US" w:eastAsia="zh-CN"/>
        </w:rPr>
        <w:t xml:space="preserve">, ZTE, 3GPP RAN4#116bis, 2025. </w:t>
      </w:r>
    </w:p>
    <w:p w14:paraId="5697E0AE">
      <w:pPr>
        <w:pStyle w:val="10"/>
        <w:numPr>
          <w:ilvl w:val="0"/>
          <w:numId w:val="0"/>
        </w:numPr>
        <w:ind w:leftChars="0"/>
        <w:rPr>
          <w:rFonts w:hint="eastAsia"/>
          <w:color w:val="auto"/>
          <w:sz w:val="20"/>
          <w:szCs w:val="20"/>
          <w:highlight w:val="none"/>
          <w:lang w:val="en-US" w:eastAsia="zh-CN"/>
        </w:rPr>
      </w:pPr>
    </w:p>
    <w:p w14:paraId="0D2C7399">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 w:name="游ゴ シ ッ ク">
    <w:altName w:val="Calibri"/>
    <w:panose1 w:val="00000000000000000000"/>
    <w:charset w:val="00"/>
    <w:family w:val="auto"/>
    <w:pitch w:val="default"/>
    <w:sig w:usb0="00000000" w:usb1="00000000" w:usb2="00000000" w:usb3="00000000" w:csb0="00000000" w:csb1="00000000"/>
  </w:font>
  <w:font w:name="MS PGothic">
    <w:panose1 w:val="020B0600070205080204"/>
    <w:charset w:val="80"/>
    <w:family w:val="swiss"/>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673AC">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B39E48"/>
    <w:multiLevelType w:val="singleLevel"/>
    <w:tmpl w:val="C2B39E48"/>
    <w:lvl w:ilvl="0" w:tentative="0">
      <w:start w:val="1"/>
      <w:numFmt w:val="decimal"/>
      <w:suff w:val="space"/>
      <w:lvlText w:val="[%1]"/>
      <w:lvlJc w:val="left"/>
    </w:lvl>
  </w:abstractNum>
  <w:abstractNum w:abstractNumId="1">
    <w:nsid w:val="067C60DA"/>
    <w:multiLevelType w:val="multilevel"/>
    <w:tmpl w:val="067C60D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pStyle w:val="66"/>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6">
    <w:nsid w:val="70146DC0"/>
    <w:multiLevelType w:val="multilevel"/>
    <w:tmpl w:val="70146DC0"/>
    <w:lvl w:ilvl="0" w:tentative="0">
      <w:start w:val="1"/>
      <w:numFmt w:val="bullet"/>
      <w:pStyle w:val="67"/>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3"/>
  </w:num>
  <w:num w:numId="3">
    <w:abstractNumId w:val="4"/>
  </w:num>
  <w:num w:numId="4">
    <w:abstractNumId w:val="6"/>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2EC9"/>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9301C"/>
    <w:rsid w:val="015D74DE"/>
    <w:rsid w:val="018C289C"/>
    <w:rsid w:val="0192268C"/>
    <w:rsid w:val="01990F98"/>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91A3E"/>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836A93"/>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3B328B"/>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835B6"/>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70F6C"/>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1FA748C"/>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3F8259A"/>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B45A7C"/>
    <w:rsid w:val="14D86281"/>
    <w:rsid w:val="14E13BC1"/>
    <w:rsid w:val="14EC3C3A"/>
    <w:rsid w:val="14FA2A13"/>
    <w:rsid w:val="15151297"/>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A866E1"/>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81C9F"/>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EF672A"/>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E1096E"/>
    <w:rsid w:val="22FC6197"/>
    <w:rsid w:val="2305377E"/>
    <w:rsid w:val="2323066A"/>
    <w:rsid w:val="23271A45"/>
    <w:rsid w:val="2332699B"/>
    <w:rsid w:val="234C7A42"/>
    <w:rsid w:val="235D0BB6"/>
    <w:rsid w:val="23752A5C"/>
    <w:rsid w:val="237F4E13"/>
    <w:rsid w:val="23A7106E"/>
    <w:rsid w:val="23BA5CAA"/>
    <w:rsid w:val="23C62395"/>
    <w:rsid w:val="23CE5E4B"/>
    <w:rsid w:val="23DA2274"/>
    <w:rsid w:val="23DB4F41"/>
    <w:rsid w:val="23EA7B8B"/>
    <w:rsid w:val="23EF00FE"/>
    <w:rsid w:val="23F06955"/>
    <w:rsid w:val="23F3704C"/>
    <w:rsid w:val="23F51D23"/>
    <w:rsid w:val="23F64D22"/>
    <w:rsid w:val="24025C53"/>
    <w:rsid w:val="24122135"/>
    <w:rsid w:val="242449EC"/>
    <w:rsid w:val="2425413A"/>
    <w:rsid w:val="242C7A4C"/>
    <w:rsid w:val="243476BE"/>
    <w:rsid w:val="24540D3D"/>
    <w:rsid w:val="247A4BEB"/>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496B31"/>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B0180B"/>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7D12FE"/>
    <w:rsid w:val="2C8757C4"/>
    <w:rsid w:val="2C9F34EC"/>
    <w:rsid w:val="2CC358D1"/>
    <w:rsid w:val="2CD44256"/>
    <w:rsid w:val="2CE22EB0"/>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A0509E"/>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DB0BD3"/>
    <w:rsid w:val="31DB35D8"/>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656A00"/>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41FB9"/>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6CD"/>
    <w:rsid w:val="3A355F60"/>
    <w:rsid w:val="3A505ABB"/>
    <w:rsid w:val="3A5A697F"/>
    <w:rsid w:val="3A692CD0"/>
    <w:rsid w:val="3A775BB9"/>
    <w:rsid w:val="3A7F2111"/>
    <w:rsid w:val="3AA415BF"/>
    <w:rsid w:val="3AB12AB3"/>
    <w:rsid w:val="3AB33D3B"/>
    <w:rsid w:val="3ABE7489"/>
    <w:rsid w:val="3ABF781F"/>
    <w:rsid w:val="3AC70715"/>
    <w:rsid w:val="3AD66CD5"/>
    <w:rsid w:val="3AF13B40"/>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BE2391C"/>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860A57"/>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376F7"/>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0F961EE"/>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4489E"/>
    <w:rsid w:val="436B23DE"/>
    <w:rsid w:val="43790671"/>
    <w:rsid w:val="438725B9"/>
    <w:rsid w:val="43DB1CDA"/>
    <w:rsid w:val="43E529F0"/>
    <w:rsid w:val="43F06CA6"/>
    <w:rsid w:val="440A782C"/>
    <w:rsid w:val="440D58DC"/>
    <w:rsid w:val="441E3344"/>
    <w:rsid w:val="441E3CCD"/>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750B6"/>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0CBB"/>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084097"/>
    <w:rsid w:val="4D175F8A"/>
    <w:rsid w:val="4D317D64"/>
    <w:rsid w:val="4D3229FD"/>
    <w:rsid w:val="4D39669C"/>
    <w:rsid w:val="4D396894"/>
    <w:rsid w:val="4D434EB5"/>
    <w:rsid w:val="4D4538EF"/>
    <w:rsid w:val="4D6D2260"/>
    <w:rsid w:val="4D713E66"/>
    <w:rsid w:val="4D7F78DB"/>
    <w:rsid w:val="4D8676F5"/>
    <w:rsid w:val="4D8E361A"/>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A6044"/>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9B6B23"/>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16469B"/>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9285F"/>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6209D"/>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853192"/>
    <w:rsid w:val="589408A7"/>
    <w:rsid w:val="58AE7BC9"/>
    <w:rsid w:val="58C270CB"/>
    <w:rsid w:val="58C62D76"/>
    <w:rsid w:val="58CF29FE"/>
    <w:rsid w:val="58D0053D"/>
    <w:rsid w:val="58E53798"/>
    <w:rsid w:val="58EB0542"/>
    <w:rsid w:val="59021A1C"/>
    <w:rsid w:val="590525A9"/>
    <w:rsid w:val="59296D9D"/>
    <w:rsid w:val="594B3F35"/>
    <w:rsid w:val="59587B02"/>
    <w:rsid w:val="595E268E"/>
    <w:rsid w:val="596E3BBB"/>
    <w:rsid w:val="597B223C"/>
    <w:rsid w:val="5984486C"/>
    <w:rsid w:val="598B13F5"/>
    <w:rsid w:val="598C40A0"/>
    <w:rsid w:val="59AB01F8"/>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91D1D"/>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A143E3"/>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1A2A5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6B7DCC"/>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00B9F"/>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6B02D2"/>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424713"/>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61411B"/>
    <w:rsid w:val="70833256"/>
    <w:rsid w:val="70896DF1"/>
    <w:rsid w:val="70A74A7A"/>
    <w:rsid w:val="70CF1B21"/>
    <w:rsid w:val="70D40EDE"/>
    <w:rsid w:val="70E42132"/>
    <w:rsid w:val="70F274FC"/>
    <w:rsid w:val="70F61B9D"/>
    <w:rsid w:val="70FC0717"/>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BB3A25"/>
    <w:rsid w:val="71ED389A"/>
    <w:rsid w:val="71F9130C"/>
    <w:rsid w:val="721245D1"/>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C6945"/>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A5B22"/>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1F3E75"/>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0810"/>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1"/>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5"/>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8"/>
    <w:semiHidden/>
    <w:unhideWhenUsed/>
    <w:qFormat/>
    <w:uiPriority w:val="99"/>
    <w:pPr>
      <w:ind w:left="100" w:leftChars="2500"/>
    </w:pPr>
  </w:style>
  <w:style w:type="paragraph" w:styleId="13">
    <w:name w:val="Balloon Text"/>
    <w:basedOn w:val="1"/>
    <w:link w:val="29"/>
    <w:semiHidden/>
    <w:unhideWhenUsed/>
    <w:qFormat/>
    <w:uiPriority w:val="99"/>
    <w:rPr>
      <w:sz w:val="18"/>
      <w:szCs w:val="18"/>
      <w:lang w:val="zh-CN"/>
    </w:rPr>
  </w:style>
  <w:style w:type="paragraph" w:styleId="14">
    <w:name w:val="footer"/>
    <w:basedOn w:val="1"/>
    <w:link w:val="28"/>
    <w:unhideWhenUsed/>
    <w:qFormat/>
    <w:uiPriority w:val="99"/>
    <w:pPr>
      <w:tabs>
        <w:tab w:val="center" w:pos="4153"/>
        <w:tab w:val="right" w:pos="8306"/>
      </w:tabs>
      <w:snapToGrid w:val="0"/>
    </w:pPr>
    <w:rPr>
      <w:sz w:val="18"/>
      <w:szCs w:val="18"/>
      <w:lang w:val="zh-CN"/>
    </w:rPr>
  </w:style>
  <w:style w:type="paragraph" w:styleId="15">
    <w:name w:val="header"/>
    <w:basedOn w:val="1"/>
    <w:link w:val="26"/>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styleId="22">
    <w:name w:val="annotation reference"/>
    <w:qFormat/>
    <w:uiPriority w:val="0"/>
    <w:rPr>
      <w:sz w:val="16"/>
      <w:szCs w:val="16"/>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5"/>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4"/>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7"/>
    <w:semiHidden/>
    <w:qFormat/>
    <w:uiPriority w:val="99"/>
    <w:rPr>
      <w:rFonts w:ascii="宋体" w:hAnsi="Times New Roman"/>
      <w:sz w:val="18"/>
      <w:szCs w:val="18"/>
      <w:lang w:eastAsia="en-US"/>
    </w:rPr>
  </w:style>
  <w:style w:type="paragraph" w:customStyle="1" w:styleId="32">
    <w:name w:val="B1"/>
    <w:basedOn w:val="11"/>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6"/>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2"/>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19"/>
    <w:qFormat/>
    <w:uiPriority w:val="0"/>
  </w:style>
  <w:style w:type="character" w:customStyle="1" w:styleId="56">
    <w:name w:val="eop"/>
    <w:basedOn w:val="19"/>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0">
    <w:name w:val="B2"/>
    <w:basedOn w:val="10"/>
    <w:qFormat/>
    <w:uiPriority w:val="0"/>
  </w:style>
  <w:style w:type="paragraph" w:customStyle="1" w:styleId="61">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2">
    <w:name w:val="스타일 스타일 스타일 스타일 양쪽 첫 줄:  2 글자 + 첫 줄:  2 글자 + 첫 줄:  2 글자 + 첫 줄:  2..."/>
    <w:basedOn w:val="63"/>
    <w:qFormat/>
    <w:uiPriority w:val="0"/>
    <w:pPr>
      <w:spacing w:line="336" w:lineRule="auto"/>
    </w:pPr>
  </w:style>
  <w:style w:type="paragraph" w:customStyle="1" w:styleId="63">
    <w:name w:val="스타일 스타일 스타일 양쪽 첫 줄:  2 글자 + 첫 줄:  2 글자 + 첫 줄:  2 글자"/>
    <w:basedOn w:val="64"/>
    <w:qFormat/>
    <w:uiPriority w:val="0"/>
    <w:pPr>
      <w:spacing w:line="312" w:lineRule="auto"/>
    </w:pPr>
  </w:style>
  <w:style w:type="paragraph" w:customStyle="1" w:styleId="64">
    <w:name w:val="스타일 스타일 양쪽 첫 줄:  2 글자 + 첫 줄:  2 글자"/>
    <w:basedOn w:val="65"/>
    <w:qFormat/>
    <w:uiPriority w:val="0"/>
    <w:pPr>
      <w:spacing w:line="300" w:lineRule="auto"/>
    </w:pPr>
  </w:style>
  <w:style w:type="paragraph" w:customStyle="1" w:styleId="65">
    <w:name w:val="스타일 양쪽 첫 줄:  2 글자"/>
    <w:basedOn w:val="1"/>
    <w:qFormat/>
    <w:uiPriority w:val="0"/>
    <w:pPr>
      <w:spacing w:line="288" w:lineRule="auto"/>
      <w:ind w:firstLine="200" w:firstLineChars="200"/>
      <w:jc w:val="both"/>
    </w:pPr>
    <w:rPr>
      <w:rFonts w:cs="Batang"/>
    </w:rPr>
  </w:style>
  <w:style w:type="paragraph" w:customStyle="1" w:styleId="66">
    <w:name w:val="样式3"/>
    <w:basedOn w:val="30"/>
    <w:qFormat/>
    <w:uiPriority w:val="0"/>
    <w:pPr>
      <w:numPr>
        <w:ilvl w:val="1"/>
        <w:numId w:val="3"/>
      </w:numPr>
      <w:spacing w:after="120"/>
      <w:ind w:firstLine="0"/>
    </w:pPr>
    <w:rPr>
      <w:rFonts w:ascii="Times New Roman" w:hAnsi="Times New Roman" w:eastAsia="宋体" w:cs="Times New Roman"/>
      <w:sz w:val="20"/>
      <w:szCs w:val="24"/>
      <w:lang w:val="en-GB"/>
    </w:rPr>
  </w:style>
  <w:style w:type="paragraph" w:customStyle="1" w:styleId="67">
    <w:name w:val="Agreement"/>
    <w:basedOn w:val="1"/>
    <w:next w:val="68"/>
    <w:qFormat/>
    <w:uiPriority w:val="99"/>
    <w:pPr>
      <w:numPr>
        <w:ilvl w:val="0"/>
        <w:numId w:val="4"/>
      </w:numPr>
      <w:spacing w:before="60"/>
    </w:pPr>
    <w:rPr>
      <w:b/>
    </w:rPr>
  </w:style>
  <w:style w:type="paragraph" w:customStyle="1" w:styleId="68">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548</Words>
  <Characters>3128</Characters>
  <Lines>26</Lines>
  <Paragraphs>7</Paragraphs>
  <TotalTime>4</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2025-10-03T03:42:44Z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5E6BDDB83E4049FCB3EA0B34C0E76F9F</vt:lpwstr>
  </property>
</Properties>
</file>